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before="20" w:after="2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spacing w:before="20" w:after="20" w:line="240" w:lineRule="auto"/>
        <w:tabs>
          <w:tab w:val="left" w:pos="7535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spacing w:before="20" w:after="2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spacing w:before="20" w:after="2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spacing w:before="20" w:after="2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jc w:val="center"/>
        <w:spacing w:before="20" w:after="2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spacing w:before="20" w:after="2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spacing w:before="20" w:after="2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spacing w:before="20" w:after="2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spacing w:before="20" w:after="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Политика Группы РусГидро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spacing w:before="20" w:after="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области охраны труда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spacing w:before="20" w:after="20" w:line="240" w:lineRule="auto"/>
        <w:rPr>
          <w:rFonts w:ascii="Times New Roman" w:hAnsi="Times New Roman" w:cs="Times New Roman"/>
          <w:sz w:val="36"/>
          <w:szCs w:val="28"/>
        </w:rPr>
      </w:pPr>
      <w:r>
        <w:br w:type="page" w:clear="all"/>
      </w:r>
      <w:r>
        <w:rPr>
          <w:rFonts w:ascii="Times New Roman" w:hAnsi="Times New Roman" w:cs="Times New Roman"/>
          <w:sz w:val="36"/>
          <w:szCs w:val="28"/>
        </w:rPr>
      </w:r>
    </w:p>
    <w:p>
      <w:pPr>
        <w:pStyle w:val="760"/>
        <w:ind w:left="0"/>
        <w:rPr>
          <w:rFonts w:ascii="Times New Roman" w:hAnsi="Times New Roman"/>
          <w:i w:val="0"/>
          <w:iCs w:val="0"/>
          <w:color w:val="000000"/>
          <w:sz w:val="28"/>
          <w:szCs w:val="28"/>
        </w:rPr>
        <w:pBdr>
          <w:top w:val="none" w:color="000000" w:sz="4" w:space="0"/>
          <w:bottom w:val="none" w:color="000000" w:sz="4" w:space="0"/>
        </w:pBdr>
      </w:pPr>
      <w:r>
        <w:rPr>
          <w:rFonts w:ascii="Times New Roman" w:hAnsi="Times New Roman"/>
          <w:i w:val="0"/>
          <w:iCs w:val="0"/>
          <w:color w:val="000000"/>
          <w:sz w:val="28"/>
          <w:szCs w:val="28"/>
        </w:rPr>
        <w:t xml:space="preserve">Содержание</w:t>
      </w:r>
      <w:r>
        <w:rPr>
          <w:rFonts w:ascii="Times New Roman" w:hAnsi="Times New Roman"/>
          <w:i w:val="0"/>
          <w:iCs w:val="0"/>
          <w:color w:val="000000"/>
          <w:sz w:val="28"/>
          <w:szCs w:val="28"/>
        </w:rPr>
      </w:r>
    </w:p>
    <w:sdt>
      <w:sdtPr>
        <w15:appearance w15:val="boundingBox"/>
        <w:id w:val="-969123671"/>
        <w:docPartObj>
          <w:docPartGallery w:val="Table of Contents"/>
          <w:docPartUnique w:val="true"/>
        </w:docPartObj>
        <w:rPr/>
      </w:sdtPr>
      <w:sdtContent>
        <w:p>
          <w:pPr>
            <w:pStyle w:val="761"/>
            <w:rPr>
              <w:i/>
            </w:rPr>
          </w:pPr>
          <w:r>
            <w:fldChar w:fldCharType="begin"/>
          </w:r>
          <w:r>
            <w:rPr>
              <w:rStyle w:val="740"/>
              <w:rFonts w:ascii="Times New Roman" w:hAnsi="Times New Roman" w:cs="Times New Roman"/>
              <w:sz w:val="28"/>
              <w:szCs w:val="28"/>
              <w:lang w:eastAsia="ru-RU"/>
            </w:rPr>
            <w:instrText xml:space="preserve"> TOC \z \f \o "1-3" \u \h</w:instrText>
          </w:r>
          <w:r>
            <w:rPr>
              <w:rStyle w:val="740"/>
              <w:rFonts w:ascii="Times New Roman" w:hAnsi="Times New Roman" w:cs="Times New Roman"/>
              <w:sz w:val="28"/>
              <w:szCs w:val="28"/>
              <w:lang w:eastAsia="ru-RU"/>
            </w:rPr>
            <w:fldChar w:fldCharType="separate"/>
          </w:r>
          <w:hyperlink w:tooltip="#__RefHeading___Toc213247460" w:anchor="__RefHeading___Toc213247460" w:history="1">
            <w:r>
              <w:rPr>
                <w:rStyle w:val="740"/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1.</w:t>
            </w:r>
            <w:r>
              <w:rPr>
                <w:rStyle w:val="740"/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ab/>
            </w:r>
            <w:r>
              <w:rPr>
                <w:rStyle w:val="740"/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ВВЕДЕНИЕ</w:t>
            </w:r>
            <w:r>
              <w:rPr>
                <w:rStyle w:val="740"/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……………………………………………………………………</w:t>
            </w:r>
            <w:r>
              <w:rPr>
                <w:rStyle w:val="740"/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3</w:t>
            </w:r>
          </w:hyperlink>
          <w:r/>
          <w:r>
            <w:rPr>
              <w:i/>
            </w:rPr>
          </w:r>
        </w:p>
        <w:p>
          <w:pPr>
            <w:pStyle w:val="761"/>
            <w:jc w:val="both"/>
            <w:tabs>
              <w:tab w:val="left" w:pos="660" w:leader="none"/>
            </w:tabs>
          </w:pPr>
          <w:r/>
          <w:hyperlink w:tooltip="#__RefHeading___Toc213247461" w:anchor="__RefHeading___Toc213247461" w:history="1">
            <w:r>
              <w:rPr>
                <w:rStyle w:val="740"/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1.1.</w:t>
            </w:r>
            <w:r>
              <w:rPr>
                <w:rStyle w:val="740"/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ab/>
            </w:r>
            <w:r>
              <w:rPr>
                <w:rStyle w:val="740"/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СПЕЦИФИКА ДЕЯТЕЛЬНОСТИ ГРУППЫ РУСГИДРО</w:t>
            </w:r>
            <w:r>
              <w:rPr>
                <w:rStyle w:val="740"/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……………...</w:t>
            </w:r>
            <w:r>
              <w:rPr>
                <w:rStyle w:val="740"/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3</w:t>
            </w:r>
          </w:hyperlink>
          <w:r/>
          <w:r/>
        </w:p>
        <w:p>
          <w:pPr>
            <w:pStyle w:val="761"/>
            <w:jc w:val="both"/>
            <w:tabs>
              <w:tab w:val="left" w:pos="660" w:leader="none"/>
            </w:tabs>
          </w:pPr>
          <w:r/>
          <w:hyperlink w:tooltip="#__RefHeading___Toc213247462" w:anchor="__RefHeading___Toc213247462" w:history="1">
            <w:r>
              <w:rPr>
                <w:rStyle w:val="740"/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1.2.</w:t>
            </w:r>
            <w:r>
              <w:rPr>
                <w:rStyle w:val="740"/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ab/>
            </w:r>
            <w:r>
              <w:rPr>
                <w:rStyle w:val="740"/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ОСНОВНЫЕ ОПАСНЫЕ И ВРЕДНЫЕ ПРОИЗВОДСТВЕННЫЕ ФАКТОРЫ, А ТАКЖЕ ОПАСНОСТИ, СВЯЗАННЫЕ СО СПЕЦИФИКОЙ ДЕЯТ</w:t>
            </w:r>
            <w:r>
              <w:rPr>
                <w:rStyle w:val="740"/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ЕЛЬНОСТИ</w:t>
            </w:r>
            <w:r>
              <w:rPr>
                <w:rStyle w:val="740"/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…………………………………………………………………</w:t>
            </w:r>
            <w:r>
              <w:rPr>
                <w:rStyle w:val="740"/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3</w:t>
            </w:r>
          </w:hyperlink>
          <w:r/>
          <w:r/>
        </w:p>
        <w:p>
          <w:pPr>
            <w:pStyle w:val="761"/>
            <w:jc w:val="both"/>
          </w:pPr>
          <w:r/>
          <w:hyperlink w:tooltip="#__RefHeading___Toc213247463" w:anchor="__RefHeading___Toc213247463" w:history="1">
            <w:r>
              <w:rPr>
                <w:rStyle w:val="740"/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2.</w:t>
            </w:r>
            <w:r>
              <w:rPr>
                <w:rStyle w:val="740"/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ab/>
            </w:r>
            <w:r>
              <w:rPr>
                <w:rStyle w:val="740"/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ПОРЯДОК ФОРМИРОВАНИЯ ПОЛИТИКИ И ВНЕСЕНИЯ В НЕЕ ИЗМЕНЕНИЙ</w:t>
            </w:r>
            <w:r>
              <w:rPr>
                <w:rStyle w:val="740"/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……………………………………………………………………..</w:t>
            </w:r>
            <w:r>
              <w:rPr>
                <w:rStyle w:val="740"/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5</w:t>
            </w:r>
          </w:hyperlink>
          <w:r/>
          <w:r/>
        </w:p>
        <w:p>
          <w:pPr>
            <w:pStyle w:val="761"/>
            <w:jc w:val="both"/>
          </w:pPr>
          <w:r/>
          <w:hyperlink w:tooltip="#__RefHeading___Toc213247464" w:anchor="__RefHeading___Toc213247464" w:history="1">
            <w:r>
              <w:rPr>
                <w:rStyle w:val="740"/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3.</w:t>
            </w:r>
            <w:r>
              <w:rPr>
                <w:rStyle w:val="740"/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ab/>
            </w:r>
            <w:r>
              <w:rPr>
                <w:rStyle w:val="740"/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ОБЩИЕ ПОЛОЖЕНИЯ</w:t>
            </w:r>
            <w:r>
              <w:rPr>
                <w:rStyle w:val="740"/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………………………………………………………..</w:t>
            </w:r>
            <w:r>
              <w:rPr>
                <w:rStyle w:val="740"/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5</w:t>
            </w:r>
          </w:hyperlink>
          <w:r/>
          <w:r/>
        </w:p>
        <w:p>
          <w:pPr>
            <w:pStyle w:val="761"/>
            <w:jc w:val="both"/>
          </w:pPr>
          <w:r/>
          <w:hyperlink w:tooltip="#__RefHeading___Toc213247465" w:anchor="__RefHeading___Toc213247465" w:history="1">
            <w:r>
              <w:rPr>
                <w:rStyle w:val="740"/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4.</w:t>
            </w:r>
            <w:r>
              <w:rPr>
                <w:rStyle w:val="740"/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ab/>
            </w:r>
            <w:r>
              <w:rPr>
                <w:rStyle w:val="740"/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ЦЕЛИ В ОБЛАСТИ ОХРАНЫ ТРУДА</w:t>
            </w:r>
            <w:r>
              <w:rPr>
                <w:rStyle w:val="740"/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………………………………………</w:t>
            </w:r>
            <w:r>
              <w:rPr>
                <w:rStyle w:val="740"/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6</w:t>
            </w:r>
          </w:hyperlink>
          <w:r/>
          <w:r/>
        </w:p>
        <w:p>
          <w:pPr>
            <w:pStyle w:val="761"/>
            <w:jc w:val="both"/>
          </w:pPr>
          <w:r/>
          <w:hyperlink w:tooltip="#__RefHeading___Toc213247466" w:anchor="__RefHeading___Toc213247466" w:history="1">
            <w:r>
              <w:rPr>
                <w:rStyle w:val="740"/>
                <w:rFonts w:ascii="Times New Roman" w:hAnsi="Times New Roman" w:eastAsia="Batang;바탕" w:cs="Times New Roman"/>
                <w:sz w:val="28"/>
                <w:szCs w:val="28"/>
                <w:lang w:eastAsia="ru-RU"/>
              </w:rPr>
              <w:t xml:space="preserve">5.</w:t>
            </w:r>
            <w:r>
              <w:rPr>
                <w:rStyle w:val="740"/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ab/>
            </w:r>
            <w:r>
              <w:rPr>
                <w:rStyle w:val="740"/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ОСНОВНЫЕ ПРИНЦИПЫ В ОБЛАСТИ ОХРАНЫ ТРУДА</w:t>
            </w:r>
            <w:r>
              <w:rPr>
                <w:rStyle w:val="740"/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………………</w:t>
            </w:r>
            <w:r>
              <w:rPr>
                <w:rStyle w:val="740"/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6</w:t>
            </w:r>
          </w:hyperlink>
          <w:r/>
          <w:r/>
        </w:p>
        <w:p>
          <w:pPr>
            <w:pStyle w:val="761"/>
            <w:jc w:val="both"/>
          </w:pPr>
          <w:r/>
          <w:hyperlink w:tooltip="#__RefHeading___Toc213247467" w:anchor="__RefHeading___Toc213247467" w:history="1">
            <w:r>
              <w:rPr>
                <w:rStyle w:val="740"/>
                <w:rFonts w:ascii="Times New Roman" w:hAnsi="Times New Roman" w:eastAsia="Batang;바탕" w:cs="Times New Roman"/>
                <w:sz w:val="28"/>
                <w:szCs w:val="28"/>
                <w:lang w:eastAsia="ru-RU"/>
              </w:rPr>
              <w:t xml:space="preserve">6.</w:t>
            </w:r>
          </w:hyperlink>
          <w:r>
            <w:rPr>
              <w:rStyle w:val="740"/>
              <w:rFonts w:ascii="Times New Roman" w:hAnsi="Times New Roman" w:eastAsia="Times New Roman" w:cs="Times New Roman"/>
              <w:sz w:val="28"/>
              <w:szCs w:val="28"/>
              <w:lang w:eastAsia="ru-RU"/>
            </w:rPr>
            <w:tab/>
          </w:r>
          <w:r>
            <w:rPr>
              <w:rStyle w:val="740"/>
              <w:rFonts w:ascii="Times New Roman" w:hAnsi="Times New Roman" w:cs="Times New Roman"/>
              <w:sz w:val="28"/>
              <w:szCs w:val="28"/>
              <w:lang w:eastAsia="ru-RU"/>
            </w:rPr>
            <w:t xml:space="preserve">ОБЯЗАТЕЛЬСТВА В ОБЛАСТИ ОХРАНЫ ТРУДА</w:t>
          </w:r>
          <w:r>
            <w:rPr>
              <w:rStyle w:val="740"/>
              <w:rFonts w:ascii="Times New Roman" w:hAnsi="Times New Roman" w:cs="Times New Roman"/>
              <w:sz w:val="28"/>
              <w:szCs w:val="28"/>
              <w:lang w:eastAsia="ru-RU"/>
            </w:rPr>
            <w:t xml:space="preserve">………………………..</w:t>
          </w:r>
          <w:r>
            <w:rPr>
              <w:rStyle w:val="740"/>
              <w:rFonts w:ascii="Times New Roman" w:hAnsi="Times New Roman" w:cs="Times New Roman"/>
              <w:sz w:val="28"/>
              <w:szCs w:val="28"/>
              <w:lang w:eastAsia="ru-RU"/>
            </w:rPr>
            <w:t xml:space="preserve">6</w:t>
          </w:r>
          <w:r/>
        </w:p>
        <w:p>
          <w:pPr>
            <w:pStyle w:val="761"/>
            <w:jc w:val="both"/>
          </w:pPr>
          <w:r/>
          <w:hyperlink w:tooltip="#__RefHeading___Toc213247468" w:anchor="__RefHeading___Toc213247468" w:history="1">
            <w:r>
              <w:rPr>
                <w:rStyle w:val="740"/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7.</w:t>
            </w:r>
          </w:hyperlink>
          <w:r>
            <w:rPr>
              <w:rStyle w:val="740"/>
              <w:rFonts w:ascii="Times New Roman" w:hAnsi="Times New Roman" w:eastAsia="Times New Roman" w:cs="Times New Roman"/>
              <w:sz w:val="28"/>
              <w:szCs w:val="28"/>
              <w:lang w:eastAsia="ru-RU"/>
            </w:rPr>
            <w:tab/>
          </w:r>
          <w:r>
            <w:rPr>
              <w:rStyle w:val="740"/>
              <w:rFonts w:ascii="Times New Roman" w:hAnsi="Times New Roman" w:cs="Times New Roman"/>
              <w:sz w:val="28"/>
              <w:szCs w:val="28"/>
              <w:lang w:eastAsia="ru-RU"/>
            </w:rPr>
            <w:t xml:space="preserve">РЕАЛИЗАЦИЯ ПОЛИТИКИ</w:t>
          </w:r>
          <w:r>
            <w:rPr>
              <w:rStyle w:val="740"/>
              <w:rFonts w:ascii="Times New Roman" w:hAnsi="Times New Roman" w:cs="Times New Roman"/>
              <w:sz w:val="28"/>
              <w:szCs w:val="28"/>
              <w:lang w:val="en-US" w:eastAsia="ru-RU"/>
            </w:rPr>
            <w:t xml:space="preserve">………………………………………………….</w:t>
          </w:r>
          <w:r>
            <w:rPr>
              <w:rStyle w:val="740"/>
              <w:rFonts w:ascii="Times New Roman" w:hAnsi="Times New Roman" w:cs="Times New Roman"/>
              <w:sz w:val="28"/>
              <w:szCs w:val="28"/>
              <w:lang w:eastAsia="ru-RU"/>
            </w:rPr>
            <w:t xml:space="preserve">8</w:t>
          </w:r>
          <w:r/>
        </w:p>
        <w:p>
          <w:pPr>
            <w:pStyle w:val="761"/>
            <w:jc w:val="both"/>
          </w:pPr>
          <w:r/>
          <w:hyperlink w:tooltip="#__RefHeading___Toc213247469" w:anchor="__RefHeading___Toc213247469" w:history="1">
            <w:r>
              <w:rPr>
                <w:rStyle w:val="740"/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8.</w:t>
            </w:r>
            <w:r>
              <w:rPr>
                <w:rStyle w:val="740"/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ab/>
            </w:r>
            <w:r>
              <w:rPr>
                <w:rStyle w:val="740"/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ИНФОРМИРОВАНИЕ ОБ ОСНОВНЫХ ПОЛОЖЕНИЯХ </w:t>
            </w:r>
            <w:r>
              <w:rPr>
                <w:rStyle w:val="740"/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ПОЛИТИКИ</w:t>
            </w:r>
            <w:r>
              <w:rPr>
                <w:rStyle w:val="740"/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……………………………………………………………………….</w:t>
            </w:r>
            <w:r>
              <w:rPr>
                <w:rStyle w:val="740"/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9</w:t>
            </w:r>
          </w:hyperlink>
          <w:r>
            <w:rPr>
              <w:rStyle w:val="740"/>
              <w:rFonts w:ascii="Times New Roman" w:hAnsi="Times New Roman" w:cs="Times New Roman"/>
              <w:sz w:val="28"/>
              <w:szCs w:val="28"/>
              <w:lang w:eastAsia="ru-RU"/>
            </w:rPr>
            <w:fldChar w:fldCharType="end"/>
          </w:r>
          <w:r/>
        </w:p>
      </w:sdtContent>
    </w:sdt>
    <w:p>
      <w:pPr>
        <w:jc w:val="both"/>
        <w:spacing w:after="0" w:line="36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br w:type="page" w:clear="all"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710"/>
        <w:numPr>
          <w:ilvl w:val="0"/>
          <w:numId w:val="3"/>
        </w:numPr>
        <w:ind w:left="0" w:firstLine="709"/>
        <w:jc w:val="both"/>
        <w:spacing w:before="0" w:after="0" w:line="240" w:lineRule="auto"/>
        <w:tabs>
          <w:tab w:val="clear" w:pos="708" w:leader="none"/>
          <w:tab w:val="left" w:pos="1276" w:leader="none"/>
        </w:tabs>
        <w:rPr>
          <w:rFonts w:ascii="Times New Roman" w:hAnsi="Times New Roman"/>
          <w:sz w:val="28"/>
          <w:szCs w:val="28"/>
        </w:rPr>
      </w:pPr>
      <w:r/>
      <w:bookmarkStart w:id="1" w:name="__RefHeading___Toc213247460"/>
      <w:r/>
      <w:bookmarkEnd w:id="1"/>
      <w:r>
        <w:rPr>
          <w:rFonts w:ascii="Times New Roman" w:hAnsi="Times New Roman"/>
          <w:b w:val="0"/>
          <w:sz w:val="28"/>
          <w:szCs w:val="28"/>
        </w:rPr>
        <w:t xml:space="preserve">ВВЕДЕНИЕ</w:t>
      </w:r>
      <w:r>
        <w:rPr>
          <w:rFonts w:ascii="Times New Roman" w:hAnsi="Times New Roman"/>
          <w:sz w:val="28"/>
          <w:szCs w:val="28"/>
        </w:rPr>
      </w:r>
    </w:p>
    <w:p>
      <w:pPr>
        <w:pStyle w:val="763"/>
        <w:ind w:firstLine="709"/>
        <w:jc w:val="both"/>
        <w:spacing w:before="120" w:after="0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Политика Группы РусГидро в области охраны труда (далее – Политика) определяет совокупность выбранных принципов, методов и ограничений ведения деятельности в целях минимизации рисков, связанных с травмат</w:t>
      </w:r>
      <w:r>
        <w:rPr>
          <w:sz w:val="28"/>
          <w:szCs w:val="28"/>
        </w:rPr>
        <w:t xml:space="preserve">измом, профессиональными заболеваниями работников и обеспечения эффективности выполнения бизнес-процессов Группы РусГидро. </w:t>
      </w:r>
      <w:r>
        <w:rPr>
          <w:sz w:val="28"/>
          <w:szCs w:val="28"/>
        </w:rPr>
      </w:r>
    </w:p>
    <w:p>
      <w:pPr>
        <w:pStyle w:val="710"/>
        <w:numPr>
          <w:ilvl w:val="0"/>
          <w:numId w:val="5"/>
        </w:numPr>
        <w:ind w:left="993" w:hanging="284"/>
        <w:jc w:val="both"/>
        <w:rPr>
          <w:sz w:val="28"/>
          <w:szCs w:val="28"/>
        </w:rPr>
      </w:pPr>
      <w:r/>
      <w:bookmarkStart w:id="2" w:name="__RefHeading___Toc213247461"/>
      <w:r/>
      <w:bookmarkEnd w:id="2"/>
      <w:r>
        <w:rPr>
          <w:rFonts w:ascii="Times New Roman" w:hAnsi="Times New Roman"/>
          <w:b w:val="0"/>
          <w:sz w:val="28"/>
          <w:szCs w:val="28"/>
        </w:rPr>
        <w:t xml:space="preserve">СПЕЦИФИКА ДЕЯТЕЛЬНОСТИ ГРУППЫ РУСГИДРО</w:t>
      </w:r>
      <w:r>
        <w:rPr>
          <w:sz w:val="28"/>
          <w:szCs w:val="28"/>
        </w:rPr>
      </w:r>
    </w:p>
    <w:p>
      <w:pPr>
        <w:pStyle w:val="763"/>
        <w:ind w:firstLine="709"/>
        <w:jc w:val="both"/>
        <w:spacing w:before="0" w:after="0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Публичное акционерное общество «Федеральная гидрогенерирующая компания – РусГидро» (ПАО «РусГ</w:t>
      </w:r>
      <w:r>
        <w:rPr>
          <w:sz w:val="28"/>
          <w:szCs w:val="28"/>
        </w:rPr>
        <w:t xml:space="preserve">идро»)</w:t>
      </w:r>
      <w:r>
        <w:rPr>
          <w:rStyle w:val="719"/>
          <w:sz w:val="28"/>
          <w:szCs w:val="28"/>
        </w:rPr>
        <w:footnoteReference w:id="2"/>
      </w:r>
      <w:r>
        <w:rPr>
          <w:sz w:val="28"/>
          <w:szCs w:val="28"/>
        </w:rPr>
        <w:t xml:space="preserve"> – крупнейший российский холдинг </w:t>
      </w:r>
      <w:r>
        <w:rPr>
          <w:sz w:val="28"/>
          <w:szCs w:val="28"/>
        </w:rPr>
        <w:br/>
        <w:t xml:space="preserve">в области энергетики, первая в стране и третья в мире компания в отрасли гидроэнергетики. </w:t>
      </w:r>
      <w:r>
        <w:rPr>
          <w:sz w:val="28"/>
          <w:szCs w:val="28"/>
        </w:rPr>
      </w:r>
    </w:p>
    <w:p>
      <w:pPr>
        <w:pStyle w:val="763"/>
        <w:ind w:firstLine="709"/>
        <w:jc w:val="both"/>
        <w:spacing w:before="0" w:after="0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В состав Группы РусГидро также входят компании, осуществляющие производство, передачу, распределение электрической и </w:t>
      </w:r>
      <w:r>
        <w:rPr>
          <w:sz w:val="28"/>
          <w:szCs w:val="28"/>
        </w:rPr>
        <w:t xml:space="preserve">тепловой энергии, строительную, ремонтную и сервисную деятельность, научно-проектные институты и гарантирующие поставщики электроэнергии.</w:t>
      </w:r>
      <w:r>
        <w:rPr>
          <w:sz w:val="28"/>
          <w:szCs w:val="28"/>
        </w:rPr>
      </w:r>
    </w:p>
    <w:p>
      <w:pPr>
        <w:pStyle w:val="763"/>
        <w:ind w:firstLine="709"/>
        <w:jc w:val="both"/>
        <w:spacing w:before="0" w:after="0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Установленная мощность электростанций Группы РусГидро составляет порядка 40 ГВт. На текущий момент Группа РусГидро экс</w:t>
      </w:r>
      <w:r>
        <w:rPr>
          <w:sz w:val="28"/>
          <w:szCs w:val="28"/>
        </w:rPr>
        <w:t xml:space="preserve">плуатирует более </w:t>
      </w:r>
      <w:r>
        <w:rPr>
          <w:sz w:val="28"/>
          <w:szCs w:val="28"/>
        </w:rPr>
        <w:br/>
        <w:t xml:space="preserve">400 объектов генерации. </w:t>
      </w:r>
      <w:r>
        <w:rPr>
          <w:sz w:val="28"/>
          <w:szCs w:val="28"/>
        </w:rPr>
      </w:r>
    </w:p>
    <w:p>
      <w:pPr>
        <w:pStyle w:val="763"/>
        <w:ind w:firstLine="709"/>
        <w:jc w:val="both"/>
        <w:spacing w:before="0" w:after="0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Группа РусГидро является лидером по производству энергии на базе возобновляемых источников энергии: водных потоков, солнца, ветра и геотермальной энергии.</w:t>
      </w:r>
      <w:r>
        <w:rPr>
          <w:sz w:val="28"/>
          <w:szCs w:val="28"/>
        </w:rPr>
      </w:r>
    </w:p>
    <w:p>
      <w:pPr>
        <w:pStyle w:val="763"/>
        <w:ind w:firstLine="709"/>
        <w:jc w:val="both"/>
        <w:spacing w:before="0" w:after="0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Взаимодействие Общества с подконтрольными организациями в </w:t>
      </w:r>
      <w:r>
        <w:rPr>
          <w:sz w:val="28"/>
          <w:szCs w:val="28"/>
        </w:rPr>
        <w:t xml:space="preserve">области охраны труда направлено на: </w:t>
      </w:r>
      <w:r>
        <w:rPr>
          <w:sz w:val="28"/>
          <w:szCs w:val="28"/>
        </w:rPr>
      </w:r>
    </w:p>
    <w:p>
      <w:pPr>
        <w:pStyle w:val="763"/>
        <w:numPr>
          <w:ilvl w:val="0"/>
          <w:numId w:val="6"/>
        </w:numPr>
        <w:ind w:left="0" w:firstLine="709"/>
        <w:jc w:val="both"/>
        <w:spacing w:before="0" w:after="0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реализацию стратегии развития Группы РусГидро; </w:t>
      </w:r>
      <w:r>
        <w:rPr>
          <w:sz w:val="28"/>
          <w:szCs w:val="28"/>
        </w:rPr>
      </w:r>
    </w:p>
    <w:p>
      <w:pPr>
        <w:pStyle w:val="763"/>
        <w:numPr>
          <w:ilvl w:val="0"/>
          <w:numId w:val="6"/>
        </w:numPr>
        <w:ind w:left="0" w:firstLine="709"/>
        <w:jc w:val="both"/>
        <w:spacing w:before="0" w:after="0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обеспечение стабильного экономического развития и инвестиционной привлекательности Группы РусГидро;</w:t>
      </w:r>
      <w:r>
        <w:rPr>
          <w:sz w:val="28"/>
          <w:szCs w:val="28"/>
        </w:rPr>
      </w:r>
    </w:p>
    <w:p>
      <w:pPr>
        <w:pStyle w:val="763"/>
        <w:numPr>
          <w:ilvl w:val="0"/>
          <w:numId w:val="6"/>
        </w:numPr>
        <w:ind w:left="0" w:firstLine="709"/>
        <w:jc w:val="both"/>
        <w:spacing w:before="0" w:after="0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защиту прав и интересов работников как самого Общества, так и его </w:t>
      </w:r>
      <w:r>
        <w:rPr>
          <w:sz w:val="28"/>
          <w:szCs w:val="28"/>
        </w:rPr>
        <w:t xml:space="preserve">подконтрольных организаций.</w:t>
      </w:r>
      <w:r>
        <w:rPr>
          <w:sz w:val="28"/>
          <w:szCs w:val="28"/>
        </w:rPr>
      </w:r>
    </w:p>
    <w:p>
      <w:pPr>
        <w:pStyle w:val="710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/>
      <w:bookmarkStart w:id="3" w:name="__RefHeading___Toc213247462"/>
      <w:r/>
      <w:bookmarkEnd w:id="3"/>
      <w:r>
        <w:rPr>
          <w:rFonts w:ascii="Times New Roman" w:hAnsi="Times New Roman"/>
          <w:b w:val="0"/>
          <w:sz w:val="28"/>
          <w:szCs w:val="28"/>
        </w:rPr>
        <w:t xml:space="preserve">ОСНОВНЫЕ ОПАСНЫЕ И ВРЕДНЫЕ ПРОИЗВОДСТВЕННЫЕ ФАКТОРЫ, А ТАКЖЕ ОПАСНОСТИ, СВЯЗАННЫЕ СО СПЕЦИФИКОЙ ДЕЯТЕЛЬНОСТИ </w:t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Специфика деятельности Группы РусГидро (производство электрической и тепловой энергии; передача, распределение и сбыт </w:t>
      </w:r>
      <w:r>
        <w:rPr>
          <w:rFonts w:ascii="Times New Roman" w:hAnsi="Times New Roman" w:cs="Times New Roman"/>
          <w:sz w:val="28"/>
          <w:szCs w:val="28"/>
        </w:rPr>
        <w:t xml:space="preserve">электрической и тепловой энергии; ремонтно-сервисное обслуживание; осуществление строительно-монтажных работ) связана с воздействием на персонал следующих опасных и вредных производственных факторов: 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63"/>
        <w:numPr>
          <w:ilvl w:val="0"/>
          <w:numId w:val="6"/>
        </w:numPr>
        <w:ind w:left="0" w:firstLine="709"/>
        <w:jc w:val="both"/>
        <w:spacing w:before="0" w:after="0"/>
        <w:shd w:val="clear" w:color="auto" w:fill="ffffff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электрический ток </w:t>
      </w:r>
      <w:r>
        <w:rPr>
          <w:sz w:val="28"/>
          <w:szCs w:val="28"/>
        </w:rPr>
        <w:t xml:space="preserve">– поражение опасным уровнем напряжен</w:t>
      </w:r>
      <w:r>
        <w:rPr>
          <w:sz w:val="28"/>
          <w:szCs w:val="28"/>
        </w:rPr>
        <w:t xml:space="preserve">ия при прикосновении или приближении на недопустимое расстояние к токоведущим </w:t>
      </w:r>
      <w:r>
        <w:rPr>
          <w:sz w:val="28"/>
          <w:szCs w:val="28"/>
        </w:rPr>
        <w:t xml:space="preserve">частям оборудования приводит к смертельному исходу, оказывает электрохимическое, биологическое, термическое воздействие электрической дуги; </w:t>
      </w:r>
      <w:r>
        <w:rPr>
          <w:i/>
          <w:sz w:val="28"/>
          <w:szCs w:val="28"/>
        </w:rPr>
      </w:r>
    </w:p>
    <w:p>
      <w:pPr>
        <w:pStyle w:val="763"/>
        <w:numPr>
          <w:ilvl w:val="0"/>
          <w:numId w:val="6"/>
        </w:numPr>
        <w:ind w:left="0" w:firstLine="709"/>
        <w:jc w:val="both"/>
        <w:spacing w:before="0" w:after="0"/>
        <w:shd w:val="clear" w:color="auto" w:fill="ffffff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высокая температура, в том числе при </w:t>
      </w:r>
      <w:r>
        <w:rPr>
          <w:i/>
          <w:sz w:val="28"/>
          <w:szCs w:val="28"/>
        </w:rPr>
        <w:t xml:space="preserve">пожаре</w:t>
      </w:r>
      <w:r>
        <w:rPr>
          <w:sz w:val="28"/>
          <w:szCs w:val="28"/>
        </w:rPr>
        <w:t xml:space="preserve"> – ожоги вследствие воздействия на тело работника рабочей среды (вода, пар, газ) и контакта с неизолированной поверхностью оборудования температурой более 42</w:t>
      </w:r>
      <w:r>
        <w:rPr>
          <w:sz w:val="28"/>
          <w:szCs w:val="28"/>
          <w:vertAlign w:val="superscript"/>
        </w:rPr>
        <w:t xml:space="preserve">0</w:t>
      </w:r>
      <w:r>
        <w:rPr>
          <w:sz w:val="28"/>
          <w:szCs w:val="28"/>
        </w:rPr>
        <w:t xml:space="preserve">С; </w:t>
      </w:r>
      <w:r>
        <w:rPr>
          <w:i/>
          <w:sz w:val="28"/>
          <w:szCs w:val="28"/>
        </w:rPr>
      </w:r>
    </w:p>
    <w:p>
      <w:pPr>
        <w:pStyle w:val="763"/>
        <w:numPr>
          <w:ilvl w:val="0"/>
          <w:numId w:val="6"/>
        </w:numPr>
        <w:ind w:left="0" w:firstLine="709"/>
        <w:jc w:val="both"/>
        <w:spacing w:before="0" w:after="0"/>
        <w:shd w:val="clear" w:color="auto" w:fill="ffffff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перепады по высоте</w:t>
      </w:r>
      <w:r>
        <w:rPr>
          <w:sz w:val="28"/>
          <w:szCs w:val="28"/>
        </w:rPr>
        <w:t xml:space="preserve"> – при выполнении работ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падение работника с высоты или падения предмет</w:t>
      </w:r>
      <w:r>
        <w:rPr>
          <w:sz w:val="28"/>
          <w:szCs w:val="28"/>
        </w:rPr>
        <w:t xml:space="preserve">ов на работника по причине расположения рабочего места на высоте от земли, пола или другой поверхности более 1,8 м; </w:t>
      </w:r>
      <w:r>
        <w:rPr>
          <w:i/>
          <w:sz w:val="28"/>
          <w:szCs w:val="28"/>
        </w:rPr>
      </w:r>
    </w:p>
    <w:p>
      <w:pPr>
        <w:pStyle w:val="763"/>
        <w:numPr>
          <w:ilvl w:val="0"/>
          <w:numId w:val="6"/>
        </w:numPr>
        <w:ind w:left="0" w:firstLine="709"/>
        <w:jc w:val="both"/>
        <w:spacing w:before="0" w:after="0"/>
        <w:shd w:val="clear" w:color="auto" w:fill="ffffff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производственное оборудование, элементы конструкций зданий и сооружений </w:t>
      </w:r>
      <w:r>
        <w:rPr>
          <w:sz w:val="28"/>
          <w:szCs w:val="28"/>
        </w:rPr>
        <w:t xml:space="preserve">(далее – ЗиС) – поражение работника движущимися, незащищенными част</w:t>
      </w:r>
      <w:r>
        <w:rPr>
          <w:sz w:val="28"/>
          <w:szCs w:val="28"/>
        </w:rPr>
        <w:t xml:space="preserve">ями оборудования, удары о неподвижные элементы конструкции. В результате разрушения оборудования или обрушения ЗиС возникает поражение работника: ударной волной, в том числе в результате детонации взрывоопасных смесей газов, при выбросе (прорыве) под давле</w:t>
      </w:r>
      <w:r>
        <w:rPr>
          <w:sz w:val="28"/>
          <w:szCs w:val="28"/>
        </w:rPr>
        <w:t xml:space="preserve">нием жидкости, пара или газа, фрагментами оборудования и инструментами; затопления помещений, в которых производятся работы;</w:t>
      </w:r>
      <w:r>
        <w:rPr>
          <w:i/>
          <w:sz w:val="28"/>
          <w:szCs w:val="28"/>
        </w:rPr>
      </w:r>
    </w:p>
    <w:p>
      <w:pPr>
        <w:pStyle w:val="763"/>
        <w:numPr>
          <w:ilvl w:val="0"/>
          <w:numId w:val="6"/>
        </w:numPr>
        <w:ind w:left="0" w:firstLine="709"/>
        <w:jc w:val="both"/>
        <w:spacing w:before="0" w:after="0"/>
        <w:shd w:val="clear" w:color="auto" w:fill="ffffff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акватория воды (</w:t>
      </w:r>
      <w:r>
        <w:rPr>
          <w:i/>
          <w:iCs/>
          <w:sz w:val="28"/>
          <w:szCs w:val="28"/>
        </w:rPr>
        <w:t xml:space="preserve">глубина воды, волнение водной поверхности</w:t>
      </w:r>
      <w:r>
        <w:rPr>
          <w:i/>
          <w:sz w:val="28"/>
          <w:szCs w:val="28"/>
        </w:rPr>
        <w:t xml:space="preserve">) </w:t>
      </w:r>
      <w:r>
        <w:rPr>
          <w:sz w:val="28"/>
          <w:szCs w:val="28"/>
        </w:rPr>
        <w:t xml:space="preserve">– утопление или травмирование работника при работах вблизи воды (на воде</w:t>
      </w:r>
      <w:r>
        <w:rPr>
          <w:sz w:val="28"/>
          <w:szCs w:val="28"/>
        </w:rPr>
        <w:t xml:space="preserve">), выполнение водолазных работ по обслуживанию гидротехнических сооружений; </w:t>
      </w:r>
      <w:r>
        <w:rPr>
          <w:i/>
          <w:sz w:val="28"/>
          <w:szCs w:val="28"/>
        </w:rPr>
      </w:r>
    </w:p>
    <w:p>
      <w:pPr>
        <w:pStyle w:val="763"/>
        <w:numPr>
          <w:ilvl w:val="0"/>
          <w:numId w:val="6"/>
        </w:numPr>
        <w:ind w:left="0" w:firstLine="709"/>
        <w:jc w:val="both"/>
        <w:spacing w:before="0" w:after="0"/>
        <w:shd w:val="clear" w:color="auto" w:fill="ffffff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автомобильный транспорт </w:t>
      </w:r>
      <w:r>
        <w:rPr>
          <w:sz w:val="28"/>
          <w:szCs w:val="28"/>
        </w:rPr>
        <w:t xml:space="preserve">– травмирование работников в результате дорожно-транспортных происшествий; </w:t>
      </w:r>
      <w:r>
        <w:rPr>
          <w:i/>
          <w:sz w:val="28"/>
          <w:szCs w:val="28"/>
        </w:rPr>
      </w:r>
    </w:p>
    <w:p>
      <w:pPr>
        <w:pStyle w:val="763"/>
        <w:numPr>
          <w:ilvl w:val="0"/>
          <w:numId w:val="6"/>
        </w:numPr>
        <w:ind w:left="0" w:firstLine="709"/>
        <w:jc w:val="both"/>
        <w:spacing w:before="0" w:after="0"/>
        <w:shd w:val="clear" w:color="auto" w:fill="ffffff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опасности, связанные с воздействием на работников животных,</w:t>
      </w:r>
      <w:r>
        <w:rPr>
          <w:i/>
          <w:sz w:val="28"/>
          <w:szCs w:val="28"/>
        </w:rPr>
        <w:br/>
        <w:t xml:space="preserve">в том числе насеком</w:t>
      </w:r>
      <w:r>
        <w:rPr>
          <w:i/>
          <w:sz w:val="28"/>
          <w:szCs w:val="28"/>
        </w:rPr>
        <w:t xml:space="preserve">ых</w:t>
      </w:r>
      <w:r>
        <w:rPr>
          <w:sz w:val="28"/>
          <w:szCs w:val="28"/>
        </w:rPr>
        <w:t xml:space="preserve"> – укусы и разрывы, заражения;</w:t>
      </w:r>
      <w:r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</w:r>
    </w:p>
    <w:p>
      <w:pPr>
        <w:pStyle w:val="763"/>
        <w:numPr>
          <w:ilvl w:val="0"/>
          <w:numId w:val="6"/>
        </w:numPr>
        <w:ind w:left="0" w:firstLine="709"/>
        <w:jc w:val="both"/>
        <w:spacing w:before="0" w:after="0"/>
        <w:shd w:val="clear" w:color="auto" w:fill="ffffff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токсичные газы и вещества</w:t>
      </w:r>
      <w:r>
        <w:rPr>
          <w:sz w:val="28"/>
          <w:szCs w:val="28"/>
        </w:rPr>
        <w:t xml:space="preserve"> – отравление газообразными веществами общетоксического и другого вредного воздействия (аммиак, хлор и другие сжатые, сжиженные и растворенные газы) в результате утечки из баллонов, бочек, цистерн,</w:t>
      </w:r>
      <w:r>
        <w:rPr>
          <w:sz w:val="28"/>
          <w:szCs w:val="28"/>
        </w:rPr>
        <w:t xml:space="preserve"> газопроводов;</w:t>
      </w:r>
      <w:r>
        <w:rPr>
          <w:i/>
          <w:sz w:val="28"/>
          <w:szCs w:val="28"/>
        </w:rPr>
      </w:r>
    </w:p>
    <w:p>
      <w:pPr>
        <w:pStyle w:val="763"/>
        <w:numPr>
          <w:ilvl w:val="0"/>
          <w:numId w:val="6"/>
        </w:numPr>
        <w:ind w:left="0" w:firstLine="709"/>
        <w:jc w:val="both"/>
        <w:spacing w:before="0" w:after="0"/>
        <w:shd w:val="clear" w:color="auto" w:fill="ffffff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электромагнитные поля промышленных частот</w:t>
      </w:r>
      <w:r>
        <w:rPr>
          <w:sz w:val="28"/>
          <w:szCs w:val="28"/>
        </w:rPr>
        <w:t xml:space="preserve"> – длительное и регулярное воздействие может привести к повышенной утомляемости, нарушению сна, головным болям, снижению давления, снижению частоты пульса; нарушениям в иммунной, нервной, эндокринной,</w:t>
      </w:r>
      <w:r>
        <w:rPr>
          <w:sz w:val="28"/>
          <w:szCs w:val="28"/>
        </w:rPr>
        <w:t xml:space="preserve"> сердечно-сосудистой системах; развитию онкологических заболеваний; развитию заболеваний центральной нервной системы;</w:t>
      </w:r>
      <w:r>
        <w:rPr>
          <w:i/>
          <w:sz w:val="28"/>
          <w:szCs w:val="28"/>
        </w:rPr>
      </w:r>
    </w:p>
    <w:p>
      <w:pPr>
        <w:pStyle w:val="763"/>
        <w:numPr>
          <w:ilvl w:val="0"/>
          <w:numId w:val="6"/>
        </w:numPr>
        <w:ind w:left="0" w:firstLine="709"/>
        <w:jc w:val="both"/>
        <w:spacing w:before="0" w:after="0"/>
        <w:shd w:val="clear" w:color="auto" w:fill="ffffff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недостаточная освещенность рабочей зоны</w:t>
      </w:r>
      <w:r>
        <w:rPr>
          <w:sz w:val="28"/>
          <w:szCs w:val="28"/>
        </w:rPr>
        <w:t xml:space="preserve"> – может привести к заболеваниям органов зрения;</w:t>
      </w:r>
      <w:r>
        <w:rPr>
          <w:i/>
          <w:sz w:val="28"/>
          <w:szCs w:val="28"/>
        </w:rPr>
      </w:r>
    </w:p>
    <w:p>
      <w:pPr>
        <w:pStyle w:val="763"/>
        <w:numPr>
          <w:ilvl w:val="0"/>
          <w:numId w:val="6"/>
        </w:numPr>
        <w:ind w:left="0" w:firstLine="709"/>
        <w:jc w:val="both"/>
        <w:spacing w:before="0" w:after="0"/>
        <w:shd w:val="clear" w:color="auto" w:fill="ffffff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повышенная запыленность воздуха в рабочей зоне, в </w:t>
      </w:r>
      <w:r>
        <w:rPr>
          <w:i/>
          <w:sz w:val="28"/>
          <w:szCs w:val="28"/>
        </w:rPr>
        <w:t xml:space="preserve">том числе воздействие аэрозолей преимущественно фиброгенного действия, угольной пыли</w:t>
      </w:r>
      <w:r>
        <w:rPr>
          <w:sz w:val="28"/>
          <w:szCs w:val="28"/>
        </w:rPr>
        <w:t xml:space="preserve"> – может привести к заболеваниям органов дыхания;</w:t>
      </w:r>
      <w:r>
        <w:rPr>
          <w:i/>
          <w:sz w:val="28"/>
          <w:szCs w:val="28"/>
        </w:rPr>
      </w:r>
    </w:p>
    <w:p>
      <w:pPr>
        <w:pStyle w:val="763"/>
        <w:numPr>
          <w:ilvl w:val="0"/>
          <w:numId w:val="6"/>
        </w:numPr>
        <w:ind w:left="0" w:firstLine="709"/>
        <w:jc w:val="both"/>
        <w:spacing w:before="0" w:after="0"/>
        <w:shd w:val="clear" w:color="auto" w:fill="ffffff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повышенный уровень шума и общей вибрации</w:t>
      </w:r>
      <w:r>
        <w:rPr>
          <w:sz w:val="28"/>
          <w:szCs w:val="28"/>
        </w:rPr>
        <w:t xml:space="preserve"> (в машинных залах, компрессорных и других помещениях и сооружениях)</w:t>
      </w:r>
      <w:bookmarkStart w:id="4" w:name="f424f"/>
      <w:r/>
      <w:bookmarkEnd w:id="4"/>
      <w:r>
        <w:rPr>
          <w:sz w:val="28"/>
          <w:szCs w:val="28"/>
        </w:rPr>
        <w:t xml:space="preserve"> – может приве</w:t>
      </w:r>
      <w:r>
        <w:rPr>
          <w:sz w:val="28"/>
          <w:szCs w:val="28"/>
        </w:rPr>
        <w:t xml:space="preserve">сти к заболеваниям органов слуха и организма в целом, утомляемости, снижению реакций человека;</w:t>
      </w:r>
      <w:r>
        <w:rPr>
          <w:i/>
          <w:sz w:val="28"/>
          <w:szCs w:val="28"/>
        </w:rPr>
      </w:r>
    </w:p>
    <w:p>
      <w:pPr>
        <w:pStyle w:val="763"/>
        <w:numPr>
          <w:ilvl w:val="0"/>
          <w:numId w:val="6"/>
        </w:numPr>
        <w:ind w:left="0" w:firstLine="709"/>
        <w:jc w:val="both"/>
        <w:spacing w:before="0" w:after="0"/>
        <w:shd w:val="clear" w:color="auto" w:fill="ffffff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пониженная или повышенная температура воздуха в производственных помещениях или на открытой территории, повышенная влажность воздуха</w:t>
      </w:r>
      <w:r>
        <w:rPr>
          <w:sz w:val="28"/>
          <w:szCs w:val="28"/>
        </w:rPr>
        <w:t xml:space="preserve"> – может привести к обморожению; тепловым ударам. </w:t>
      </w:r>
      <w:bookmarkStart w:id="5" w:name="2552c"/>
      <w:r/>
      <w:bookmarkEnd w:id="5"/>
      <w:r/>
      <w:r>
        <w:rPr>
          <w:i/>
          <w:sz w:val="28"/>
          <w:szCs w:val="28"/>
        </w:rPr>
      </w:r>
    </w:p>
    <w:p>
      <w:pPr>
        <w:ind w:left="709"/>
        <w:jc w:val="both"/>
        <w:spacing w:after="0" w:line="240" w:lineRule="auto"/>
        <w:rPr>
          <w:i/>
          <w:sz w:val="28"/>
          <w:szCs w:val="28"/>
        </w:rPr>
      </w:pPr>
      <w:r>
        <w:rPr>
          <w:i/>
          <w:sz w:val="28"/>
          <w:szCs w:val="28"/>
        </w:rPr>
      </w:r>
      <w:r>
        <w:rPr>
          <w:i/>
          <w:sz w:val="28"/>
          <w:szCs w:val="28"/>
        </w:rPr>
      </w:r>
    </w:p>
    <w:p>
      <w:pPr>
        <w:pStyle w:val="710"/>
        <w:numPr>
          <w:ilvl w:val="0"/>
          <w:numId w:val="3"/>
        </w:numPr>
        <w:ind w:left="0" w:firstLine="709"/>
        <w:jc w:val="both"/>
        <w:spacing w:before="0" w:after="0" w:line="240" w:lineRule="auto"/>
        <w:tabs>
          <w:tab w:val="clear" w:pos="708" w:leader="none"/>
          <w:tab w:val="left" w:pos="1276" w:leader="none"/>
        </w:tabs>
        <w:rPr>
          <w:rFonts w:ascii="Times New Roman" w:hAnsi="Times New Roman"/>
          <w:sz w:val="28"/>
          <w:szCs w:val="28"/>
        </w:rPr>
      </w:pPr>
      <w:r/>
      <w:bookmarkStart w:id="6" w:name="__RefHeading___Toc213247463"/>
      <w:r/>
      <w:bookmarkEnd w:id="6"/>
      <w:r>
        <w:rPr>
          <w:rFonts w:ascii="Times New Roman" w:hAnsi="Times New Roman"/>
          <w:b w:val="0"/>
          <w:sz w:val="28"/>
          <w:szCs w:val="28"/>
        </w:rPr>
        <w:t xml:space="preserve">ПОРЯДОК ФОРМИРОВАНИЯ ПОЛИТИКИ И ВНЕСЕНИЯ В НЕЕ ИЗМЕНЕНИЙ</w:t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Политика основана на Конституции Российской Федерации, государственной политике в области охраны труда, федеральных законах и иных нормативных </w:t>
      </w:r>
      <w:r>
        <w:rPr>
          <w:rFonts w:ascii="Times New Roman" w:hAnsi="Times New Roman" w:cs="Times New Roman"/>
          <w:sz w:val="28"/>
          <w:szCs w:val="28"/>
        </w:rPr>
        <w:t xml:space="preserve">правовых актах Российской Федерации, регулирующих безопасность труда, и международных договорах Российской Федерации в области труда.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Политика является составной частью системы управления охраной труда (далее – СУОТ), функционирование которой определено 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рудовым кодексом Российской Федерации.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Политика подлежит пересмотру при изменении основных направлений производственной деятельности, которые влекут появление производственных рисков, связанных с новой спецификой деятельности Группы РусГидро, а также при д</w:t>
      </w:r>
      <w:r>
        <w:rPr>
          <w:rFonts w:ascii="Times New Roman" w:hAnsi="Times New Roman" w:cs="Times New Roman"/>
          <w:sz w:val="28"/>
          <w:szCs w:val="28"/>
        </w:rPr>
        <w:t xml:space="preserve">остижении целей в области охраны труда и выполнении обязательств, заявленных в Политике, но не реже чем 1 раз в 5 лет.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Изменения в Политику вносятся решением Совета директоров Общества.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0"/>
        <w:numPr>
          <w:ilvl w:val="0"/>
          <w:numId w:val="3"/>
        </w:numPr>
        <w:ind w:hanging="11"/>
        <w:jc w:val="both"/>
        <w:spacing w:before="0" w:after="0" w:line="240" w:lineRule="auto"/>
        <w:tabs>
          <w:tab w:val="clear" w:pos="708" w:leader="none"/>
          <w:tab w:val="left" w:pos="1134" w:leader="none"/>
        </w:tabs>
        <w:rPr>
          <w:rFonts w:ascii="Times New Roman" w:hAnsi="Times New Roman"/>
          <w:sz w:val="28"/>
          <w:szCs w:val="28"/>
          <w:lang w:eastAsia="ru-RU"/>
        </w:rPr>
      </w:pPr>
      <w:r/>
      <w:bookmarkStart w:id="7" w:name="__RefHeading___Toc213247464"/>
      <w:r/>
      <w:bookmarkEnd w:id="7"/>
      <w:r>
        <w:rPr>
          <w:rFonts w:ascii="Times New Roman" w:hAnsi="Times New Roman"/>
          <w:b w:val="0"/>
          <w:sz w:val="28"/>
          <w:szCs w:val="28"/>
        </w:rPr>
        <w:t xml:space="preserve">ОБЩИЕ ПОЛОЖЕНИЯ</w:t>
      </w: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ind w:firstLine="709"/>
        <w:jc w:val="both"/>
        <w:spacing w:before="120"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Политика является публичной документированной деклар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ацией Группы РусГидро о намерении и гарантированном выполнении обязательств по соблюдению государственных нормативных требований охраны труда и добровольно принятых обязательств. </w:t>
      </w:r>
      <w:r>
        <w:rPr>
          <w:rFonts w:ascii="Times New Roman" w:hAnsi="Times New Roman" w:cs="Times New Roman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Предметной областью Политики является охрана труда, определяемая как система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сохранения жизни и здоровья работников в процессе трудовой деятельности, включающая правовые, социально-экономические, организационно-технические, санитарно-гигиенические, лечебно-профилактические, реабилитационные и иные мероприятия.</w:t>
      </w:r>
      <w:r>
        <w:rPr>
          <w:rFonts w:ascii="Times New Roman" w:hAnsi="Times New Roman" w:cs="Times New Roman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Политика определяет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бизнес-процессы СУОТ.</w:t>
      </w:r>
      <w:r>
        <w:rPr>
          <w:rFonts w:ascii="Times New Roman" w:hAnsi="Times New Roman" w:cs="Times New Roman"/>
          <w:sz w:val="28"/>
          <w:szCs w:val="28"/>
        </w:rPr>
        <w:t xml:space="preserve"> Положения Политики реализуются путем выполнения регламентов, обеспечивающих функционирование СУОТ.</w:t>
      </w:r>
      <w:r>
        <w:rPr>
          <w:rFonts w:ascii="Times New Roman" w:hAnsi="Times New Roman" w:cs="Times New Roman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Политика распространяется на все управленческие и технологические процессы, производственные и технологические комплексы объектов Групп</w:t>
      </w:r>
      <w:r>
        <w:rPr>
          <w:rFonts w:ascii="Times New Roman" w:hAnsi="Times New Roman" w:cs="Times New Roman"/>
          <w:sz w:val="28"/>
          <w:szCs w:val="28"/>
        </w:rPr>
        <w:t xml:space="preserve">ы РусГидро. </w:t>
      </w:r>
      <w:r>
        <w:rPr>
          <w:rFonts w:ascii="Times New Roman" w:hAnsi="Times New Roman" w:cs="Times New Roman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Политика является обязательной для исполнения всеми структурными подразделениями Общества, его филиалами и подконтрольными организациями, а также иными лицами,</w:t>
      </w:r>
      <w:r>
        <w:rPr>
          <w:rFonts w:ascii="Times New Roman" w:hAnsi="Times New Roman" w:eastAsia="Batang;바탕" w:cs="Times New Roman"/>
          <w:sz w:val="28"/>
          <w:szCs w:val="28"/>
          <w:lang w:eastAsia="ko-KR"/>
        </w:rPr>
        <w:t xml:space="preserve"> на которых могут распространяться производственные факторы объектов Группы РусГидро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</w:r>
      <w:r>
        <w:rPr>
          <w:rFonts w:ascii="Times New Roman" w:hAnsi="Times New Roman" w:cs="Times New Roman"/>
          <w:sz w:val="28"/>
          <w:szCs w:val="28"/>
          <w:lang w:eastAsia="ru-RU"/>
        </w:rPr>
      </w:r>
    </w:p>
    <w:p>
      <w:pPr>
        <w:pStyle w:val="710"/>
        <w:numPr>
          <w:ilvl w:val="0"/>
          <w:numId w:val="3"/>
        </w:numPr>
        <w:ind w:hanging="11"/>
        <w:jc w:val="both"/>
        <w:spacing w:before="0" w:after="0" w:line="240" w:lineRule="auto"/>
        <w:rPr>
          <w:rFonts w:ascii="Times New Roman" w:hAnsi="Times New Roman"/>
          <w:sz w:val="28"/>
          <w:szCs w:val="28"/>
          <w:lang w:eastAsia="ru-RU"/>
        </w:rPr>
      </w:pPr>
      <w:r/>
      <w:bookmarkStart w:id="8" w:name="__RefHeading___Toc213247465"/>
      <w:r/>
      <w:bookmarkEnd w:id="8"/>
      <w:r>
        <w:rPr>
          <w:rFonts w:ascii="Times New Roman" w:hAnsi="Times New Roman"/>
          <w:b w:val="0"/>
          <w:sz w:val="28"/>
          <w:szCs w:val="28"/>
        </w:rPr>
        <w:t xml:space="preserve">ЦЕЛИ В ОБЛАСТИ ОХРАНЫ ТРУДА </w:t>
      </w: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ind w:firstLine="709"/>
        <w:jc w:val="both"/>
        <w:spacing w:before="120"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Основной целью Группы РусГидро в области охраны труда является сохранение жизни и здоровья работников в процессе трудовой деятельности посредством:</w:t>
      </w:r>
      <w:r>
        <w:rPr>
          <w:rFonts w:ascii="Times New Roman" w:hAnsi="Times New Roman" w:cs="Times New Roman"/>
          <w:sz w:val="28"/>
          <w:szCs w:val="28"/>
          <w:lang w:eastAsia="ru-RU"/>
        </w:rPr>
      </w:r>
    </w:p>
    <w:p>
      <w:pPr>
        <w:numPr>
          <w:ilvl w:val="0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создания и поддержания безопасных условий труда на рабочих местах;</w:t>
      </w:r>
      <w:r>
        <w:rPr>
          <w:rFonts w:ascii="Times New Roman" w:hAnsi="Times New Roman" w:cs="Times New Roman"/>
          <w:sz w:val="28"/>
          <w:szCs w:val="28"/>
          <w:lang w:eastAsia="ru-RU"/>
        </w:rPr>
      </w:r>
    </w:p>
    <w:p>
      <w:pPr>
        <w:numPr>
          <w:ilvl w:val="0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предупреждения производственного травматизма, профессиональных заболеваний и минимизация тяжести их последствий;</w:t>
      </w:r>
      <w:r>
        <w:rPr>
          <w:rFonts w:ascii="Times New Roman" w:hAnsi="Times New Roman" w:cs="Times New Roman"/>
          <w:sz w:val="28"/>
          <w:szCs w:val="28"/>
          <w:lang w:eastAsia="ru-RU"/>
        </w:rPr>
      </w:r>
    </w:p>
    <w:p>
      <w:pPr>
        <w:numPr>
          <w:ilvl w:val="0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обеспечения выполнения нормативных требований охраны труда;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</w:r>
    </w:p>
    <w:p>
      <w:pPr>
        <w:numPr>
          <w:ilvl w:val="0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Batang;바탕" w:cs="Times New Roman"/>
          <w:sz w:val="28"/>
          <w:szCs w:val="28"/>
          <w:lang w:eastAsia="ko-KR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интеграция мероприятий по охране труда в общую концепцию развития Группы РусГидро;</w:t>
      </w:r>
      <w:r>
        <w:rPr>
          <w:rFonts w:ascii="Times New Roman" w:hAnsi="Times New Roman" w:eastAsia="Batang;바탕" w:cs="Times New Roman"/>
          <w:sz w:val="28"/>
          <w:szCs w:val="28"/>
          <w:lang w:eastAsia="ko-KR"/>
        </w:rPr>
      </w:r>
    </w:p>
    <w:p>
      <w:pPr>
        <w:numPr>
          <w:ilvl w:val="0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Batang;바탕" w:cs="Times New Roman"/>
          <w:sz w:val="28"/>
          <w:szCs w:val="28"/>
          <w:lang w:eastAsia="ko-KR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оценки, управления и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снижения профессиональных рисков. </w:t>
      </w:r>
      <w:r>
        <w:rPr>
          <w:rFonts w:ascii="Times New Roman" w:hAnsi="Times New Roman" w:eastAsia="Batang;바탕" w:cs="Times New Roman"/>
          <w:sz w:val="28"/>
          <w:szCs w:val="28"/>
          <w:lang w:eastAsia="ko-KR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Batang;바탕" w:cs="Times New Roman"/>
          <w:sz w:val="28"/>
          <w:szCs w:val="28"/>
          <w:lang w:eastAsia="ko-KR"/>
        </w:rPr>
      </w:pPr>
      <w:r>
        <w:rPr>
          <w:rFonts w:ascii="Times New Roman" w:hAnsi="Times New Roman" w:eastAsia="Batang;바탕" w:cs="Times New Roman"/>
          <w:sz w:val="28"/>
          <w:szCs w:val="28"/>
          <w:lang w:eastAsia="ko-KR"/>
        </w:rPr>
        <w:t xml:space="preserve">На всех объектах Группы РусГидро должны быть установлены измеримые цели в области охраны труда в отношении производственного травматизма в составе ключевых показателей эффективности, стремящихся к нул</w:t>
      </w:r>
      <w:r>
        <w:rPr>
          <w:rFonts w:ascii="Times New Roman" w:hAnsi="Times New Roman" w:eastAsia="Batang;바탕" w:cs="Times New Roman"/>
          <w:sz w:val="28"/>
          <w:szCs w:val="28"/>
          <w:lang w:eastAsia="ko-KR"/>
        </w:rPr>
        <w:t xml:space="preserve">евым уровням производственного травматизма.</w:t>
      </w:r>
      <w:r>
        <w:rPr>
          <w:rFonts w:ascii="Times New Roman" w:hAnsi="Times New Roman" w:eastAsia="Batang;바탕" w:cs="Times New Roman"/>
          <w:sz w:val="28"/>
          <w:szCs w:val="28"/>
          <w:lang w:eastAsia="ko-KR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Batang;바탕" w:cs="Times New Roman"/>
          <w:sz w:val="28"/>
          <w:szCs w:val="28"/>
          <w:lang w:eastAsia="ko-KR"/>
        </w:rPr>
      </w:pPr>
      <w:r>
        <w:rPr>
          <w:rFonts w:ascii="Times New Roman" w:hAnsi="Times New Roman" w:eastAsia="Batang;바탕" w:cs="Times New Roman"/>
          <w:sz w:val="28"/>
          <w:szCs w:val="28"/>
          <w:lang w:eastAsia="ko-KR"/>
        </w:rPr>
      </w:r>
      <w:r>
        <w:rPr>
          <w:rFonts w:ascii="Times New Roman" w:hAnsi="Times New Roman" w:eastAsia="Batang;바탕" w:cs="Times New Roman"/>
          <w:sz w:val="28"/>
          <w:szCs w:val="28"/>
          <w:lang w:eastAsia="ko-KR"/>
        </w:rPr>
      </w:r>
    </w:p>
    <w:p>
      <w:pPr>
        <w:pStyle w:val="710"/>
        <w:numPr>
          <w:ilvl w:val="0"/>
          <w:numId w:val="3"/>
        </w:numPr>
        <w:ind w:hanging="11"/>
        <w:spacing w:before="0" w:after="0" w:line="240" w:lineRule="auto"/>
        <w:tabs>
          <w:tab w:val="clear" w:pos="708" w:leader="none"/>
          <w:tab w:val="left" w:pos="1418" w:leader="none"/>
        </w:tabs>
        <w:rPr>
          <w:rFonts w:ascii="Times New Roman" w:hAnsi="Times New Roman" w:eastAsia="Batang;바탕"/>
          <w:sz w:val="28"/>
          <w:szCs w:val="28"/>
          <w:lang w:eastAsia="ko-KR"/>
        </w:rPr>
      </w:pPr>
      <w:r/>
      <w:bookmarkStart w:id="9" w:name="__RefHeading___Toc213247466"/>
      <w:r/>
      <w:bookmarkEnd w:id="9"/>
      <w:r>
        <w:rPr>
          <w:rFonts w:ascii="Times New Roman" w:hAnsi="Times New Roman"/>
          <w:b w:val="0"/>
          <w:sz w:val="28"/>
          <w:szCs w:val="28"/>
        </w:rPr>
        <w:t xml:space="preserve">ОСНОВНЫЕ ПРИНЦИПЫ В ОБЛАСТИ ОХРАНЫ ТРУДА</w:t>
      </w:r>
      <w:r>
        <w:rPr>
          <w:rFonts w:ascii="Times New Roman" w:hAnsi="Times New Roman" w:eastAsia="Batang;바탕"/>
          <w:sz w:val="28"/>
          <w:szCs w:val="28"/>
          <w:lang w:eastAsia="ko-KR"/>
        </w:rPr>
      </w:r>
    </w:p>
    <w:p>
      <w:pPr>
        <w:ind w:firstLine="709"/>
        <w:jc w:val="both"/>
        <w:spacing w:before="120" w:after="0" w:line="240" w:lineRule="auto"/>
        <w:rPr>
          <w:rFonts w:ascii="Times New Roman" w:hAnsi="Times New Roman" w:eastAsia="Batang;바탕" w:cs="Times New Roman"/>
          <w:sz w:val="28"/>
          <w:szCs w:val="28"/>
          <w:lang w:eastAsia="ko-KR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Политика</w:t>
      </w:r>
      <w:r>
        <w:rPr>
          <w:rFonts w:ascii="Times New Roman" w:hAnsi="Times New Roman" w:eastAsia="Batang;바탕" w:cs="Times New Roman"/>
          <w:sz w:val="28"/>
          <w:szCs w:val="28"/>
          <w:lang w:eastAsia="ko-KR"/>
        </w:rPr>
        <w:t xml:space="preserve"> направлена на обеспечение исполнения следующих принципов:</w:t>
      </w:r>
      <w:r>
        <w:rPr>
          <w:rFonts w:ascii="Times New Roman" w:hAnsi="Times New Roman" w:eastAsia="Batang;바탕" w:cs="Times New Roman"/>
          <w:sz w:val="28"/>
          <w:szCs w:val="28"/>
          <w:lang w:eastAsia="ko-KR"/>
        </w:rPr>
      </w:r>
    </w:p>
    <w:p>
      <w:pPr>
        <w:numPr>
          <w:ilvl w:val="0"/>
          <w:numId w:val="8"/>
        </w:numPr>
        <w:ind w:left="0" w:firstLine="709"/>
        <w:jc w:val="both"/>
        <w:spacing w:after="0" w:line="240" w:lineRule="auto"/>
        <w:rPr>
          <w:rFonts w:ascii="Times New Roman" w:hAnsi="Times New Roman" w:eastAsia="Batang;바탕" w:cs="Times New Roman"/>
          <w:sz w:val="28"/>
          <w:szCs w:val="28"/>
          <w:lang w:eastAsia="ko-KR"/>
        </w:rPr>
      </w:pPr>
      <w:r>
        <w:rPr>
          <w:rFonts w:ascii="Times New Roman" w:hAnsi="Times New Roman" w:eastAsia="Batang;바탕" w:cs="Times New Roman"/>
          <w:sz w:val="28"/>
          <w:szCs w:val="28"/>
          <w:lang w:eastAsia="ko-KR"/>
        </w:rPr>
        <w:t xml:space="preserve">приоритета сохранения жизни и здоровья работников перед результатами производственной деятельности;</w:t>
      </w:r>
      <w:r>
        <w:rPr>
          <w:rFonts w:ascii="Times New Roman" w:hAnsi="Times New Roman" w:eastAsia="Batang;바탕" w:cs="Times New Roman"/>
          <w:sz w:val="28"/>
          <w:szCs w:val="28"/>
          <w:lang w:eastAsia="ko-KR"/>
        </w:rPr>
      </w:r>
    </w:p>
    <w:p>
      <w:pPr>
        <w:numPr>
          <w:ilvl w:val="0"/>
          <w:numId w:val="8"/>
        </w:numPr>
        <w:ind w:left="0" w:firstLine="709"/>
        <w:jc w:val="both"/>
        <w:spacing w:after="0" w:line="240" w:lineRule="auto"/>
        <w:rPr>
          <w:rFonts w:ascii="Times New Roman" w:hAnsi="Times New Roman" w:eastAsia="Batang;바탕" w:cs="Times New Roman"/>
          <w:sz w:val="28"/>
          <w:szCs w:val="28"/>
          <w:lang w:eastAsia="ko-KR"/>
        </w:rPr>
      </w:pPr>
      <w:r>
        <w:rPr>
          <w:rFonts w:ascii="Times New Roman" w:hAnsi="Times New Roman" w:eastAsia="Batang;바탕" w:cs="Times New Roman"/>
          <w:sz w:val="28"/>
          <w:szCs w:val="28"/>
          <w:lang w:eastAsia="ko-KR"/>
        </w:rPr>
        <w:t xml:space="preserve">лид</w:t>
      </w:r>
      <w:r>
        <w:rPr>
          <w:rFonts w:ascii="Times New Roman" w:hAnsi="Times New Roman" w:eastAsia="Batang;바탕" w:cs="Times New Roman"/>
          <w:sz w:val="28"/>
          <w:szCs w:val="28"/>
          <w:lang w:eastAsia="ko-KR"/>
        </w:rPr>
        <w:t xml:space="preserve">ерства руководства всех уровней управления в вопросах обеспечения безопасности труда и выполнения требований охраны труда;</w:t>
      </w:r>
      <w:r>
        <w:rPr>
          <w:rFonts w:ascii="Times New Roman" w:hAnsi="Times New Roman" w:eastAsia="Batang;바탕" w:cs="Times New Roman"/>
          <w:sz w:val="28"/>
          <w:szCs w:val="28"/>
          <w:lang w:eastAsia="ko-KR"/>
        </w:rPr>
      </w:r>
    </w:p>
    <w:p>
      <w:pPr>
        <w:numPr>
          <w:ilvl w:val="0"/>
          <w:numId w:val="8"/>
        </w:numPr>
        <w:ind w:left="0" w:firstLine="709"/>
        <w:jc w:val="both"/>
        <w:spacing w:after="0" w:line="240" w:lineRule="auto"/>
        <w:rPr>
          <w:rFonts w:ascii="Times New Roman" w:hAnsi="Times New Roman" w:eastAsia="Batang;바탕" w:cs="Times New Roman"/>
          <w:sz w:val="28"/>
          <w:szCs w:val="28"/>
          <w:lang w:eastAsia="ko-KR"/>
        </w:rPr>
      </w:pPr>
      <w:r>
        <w:rPr>
          <w:rFonts w:ascii="Times New Roman" w:hAnsi="Times New Roman" w:eastAsia="Batang;바탕" w:cs="Times New Roman"/>
          <w:sz w:val="28"/>
          <w:szCs w:val="28"/>
          <w:lang w:eastAsia="ko-KR"/>
        </w:rPr>
        <w:t xml:space="preserve">нулевого порога терпимости к нарушениям требований производственной безопасности и правил охраны труда, а также к </w:t>
      </w:r>
      <w:r>
        <w:rPr>
          <w:rFonts w:ascii="Times New Roman" w:hAnsi="Times New Roman" w:cs="Times New Roman"/>
          <w:sz w:val="28"/>
          <w:szCs w:val="28"/>
        </w:rPr>
        <w:t xml:space="preserve">низкому уровню отве</w:t>
      </w:r>
      <w:r>
        <w:rPr>
          <w:rFonts w:ascii="Times New Roman" w:hAnsi="Times New Roman" w:cs="Times New Roman"/>
          <w:sz w:val="28"/>
          <w:szCs w:val="28"/>
        </w:rPr>
        <w:t xml:space="preserve">тственности и неисполнению работником должностных обязанностей;</w:t>
      </w:r>
      <w:r>
        <w:rPr>
          <w:rFonts w:ascii="Times New Roman" w:hAnsi="Times New Roman" w:eastAsia="Batang;바탕" w:cs="Times New Roman"/>
          <w:sz w:val="28"/>
          <w:szCs w:val="28"/>
          <w:lang w:eastAsia="ko-KR"/>
        </w:rPr>
      </w:r>
    </w:p>
    <w:p>
      <w:pPr>
        <w:numPr>
          <w:ilvl w:val="0"/>
          <w:numId w:val="8"/>
        </w:numPr>
        <w:ind w:left="0" w:firstLine="709"/>
        <w:jc w:val="both"/>
        <w:spacing w:after="0" w:line="240" w:lineRule="auto"/>
        <w:rPr>
          <w:rFonts w:ascii="Times New Roman" w:hAnsi="Times New Roman" w:eastAsia="Batang;바탕" w:cs="Times New Roman"/>
          <w:sz w:val="28"/>
          <w:szCs w:val="28"/>
          <w:lang w:eastAsia="ko-KR"/>
        </w:rPr>
      </w:pPr>
      <w:r>
        <w:rPr>
          <w:rFonts w:ascii="Times New Roman" w:hAnsi="Times New Roman" w:eastAsia="Batang;바탕" w:cs="Times New Roman"/>
          <w:sz w:val="28"/>
          <w:szCs w:val="28"/>
          <w:lang w:eastAsia="ko-KR"/>
        </w:rPr>
        <w:t xml:space="preserve">приоритета превентивных мер по отношению к реактивным мерам;</w:t>
      </w:r>
      <w:r>
        <w:rPr>
          <w:rFonts w:ascii="Times New Roman" w:hAnsi="Times New Roman" w:eastAsia="Batang;바탕" w:cs="Times New Roman"/>
          <w:sz w:val="28"/>
          <w:szCs w:val="28"/>
          <w:lang w:eastAsia="ko-KR"/>
        </w:rPr>
      </w:r>
    </w:p>
    <w:p>
      <w:pPr>
        <w:numPr>
          <w:ilvl w:val="0"/>
          <w:numId w:val="8"/>
        </w:numPr>
        <w:ind w:left="0" w:firstLine="709"/>
        <w:jc w:val="both"/>
        <w:spacing w:after="0" w:line="240" w:lineRule="auto"/>
        <w:rPr>
          <w:rFonts w:ascii="Times New Roman" w:hAnsi="Times New Roman" w:eastAsia="Batang;바탕" w:cs="Times New Roman"/>
          <w:sz w:val="28"/>
          <w:szCs w:val="28"/>
          <w:lang w:eastAsia="ko-KR"/>
        </w:rPr>
      </w:pPr>
      <w:r>
        <w:rPr>
          <w:rFonts w:ascii="Times New Roman" w:hAnsi="Times New Roman" w:eastAsia="Batang;바탕" w:cs="Times New Roman"/>
          <w:sz w:val="28"/>
          <w:szCs w:val="28"/>
          <w:lang w:eastAsia="ko-KR"/>
        </w:rPr>
        <w:t xml:space="preserve">разграничения ответственности и функций субъектов управления охраной труда на всех уровнях управления;</w:t>
      </w:r>
      <w:r>
        <w:rPr>
          <w:rFonts w:ascii="Times New Roman" w:hAnsi="Times New Roman" w:eastAsia="Batang;바탕" w:cs="Times New Roman"/>
          <w:sz w:val="28"/>
          <w:szCs w:val="28"/>
          <w:lang w:eastAsia="ko-KR"/>
        </w:rPr>
      </w:r>
    </w:p>
    <w:p>
      <w:pPr>
        <w:numPr>
          <w:ilvl w:val="0"/>
          <w:numId w:val="8"/>
        </w:numPr>
        <w:ind w:left="0" w:firstLine="709"/>
        <w:jc w:val="both"/>
        <w:spacing w:after="0" w:line="240" w:lineRule="auto"/>
        <w:rPr>
          <w:rFonts w:ascii="Times New Roman" w:hAnsi="Times New Roman" w:eastAsia="Batang;바탕" w:cs="Times New Roman"/>
          <w:sz w:val="28"/>
          <w:szCs w:val="28"/>
          <w:lang w:eastAsia="ko-KR"/>
        </w:rPr>
      </w:pPr>
      <w:r>
        <w:rPr>
          <w:rFonts w:ascii="Times New Roman" w:hAnsi="Times New Roman" w:eastAsia="Batang;바탕" w:cs="Times New Roman"/>
          <w:sz w:val="28"/>
          <w:szCs w:val="28"/>
          <w:lang w:eastAsia="ko-KR"/>
        </w:rPr>
        <w:t xml:space="preserve">постоянного улучшения деятел</w:t>
      </w:r>
      <w:r>
        <w:rPr>
          <w:rFonts w:ascii="Times New Roman" w:hAnsi="Times New Roman" w:eastAsia="Batang;바탕" w:cs="Times New Roman"/>
          <w:sz w:val="28"/>
          <w:szCs w:val="28"/>
          <w:lang w:eastAsia="ko-KR"/>
        </w:rPr>
        <w:t xml:space="preserve">ьности в области охраны труда;</w:t>
      </w:r>
      <w:r>
        <w:rPr>
          <w:rFonts w:ascii="Times New Roman" w:hAnsi="Times New Roman" w:eastAsia="Batang;바탕" w:cs="Times New Roman"/>
          <w:sz w:val="28"/>
          <w:szCs w:val="28"/>
          <w:lang w:eastAsia="ko-KR"/>
        </w:rPr>
      </w:r>
    </w:p>
    <w:p>
      <w:pPr>
        <w:numPr>
          <w:ilvl w:val="0"/>
          <w:numId w:val="8"/>
        </w:numPr>
        <w:ind w:left="0" w:firstLine="709"/>
        <w:jc w:val="both"/>
        <w:spacing w:after="0" w:line="240" w:lineRule="auto"/>
        <w:rPr>
          <w:rFonts w:ascii="Times New Roman" w:hAnsi="Times New Roman" w:eastAsia="Batang;바탕" w:cs="Times New Roman"/>
          <w:sz w:val="28"/>
          <w:szCs w:val="28"/>
          <w:lang w:eastAsia="ko-KR"/>
        </w:rPr>
      </w:pPr>
      <w:r>
        <w:rPr>
          <w:rFonts w:ascii="Times New Roman" w:hAnsi="Times New Roman" w:eastAsia="Batang;바탕" w:cs="Times New Roman"/>
          <w:sz w:val="28"/>
          <w:szCs w:val="28"/>
          <w:lang w:eastAsia="ko-KR"/>
        </w:rPr>
        <w:t xml:space="preserve">обеспечения безопасности персонала на основе управления рисками, связанными с выполняемой работой;</w:t>
      </w:r>
      <w:r>
        <w:rPr>
          <w:rFonts w:ascii="Times New Roman" w:hAnsi="Times New Roman" w:eastAsia="Batang;바탕" w:cs="Times New Roman"/>
          <w:sz w:val="28"/>
          <w:szCs w:val="28"/>
          <w:lang w:eastAsia="ko-KR"/>
        </w:rPr>
      </w:r>
    </w:p>
    <w:p>
      <w:pPr>
        <w:numPr>
          <w:ilvl w:val="0"/>
          <w:numId w:val="8"/>
        </w:numPr>
        <w:ind w:left="0" w:firstLine="709"/>
        <w:jc w:val="both"/>
        <w:spacing w:after="0" w:line="240" w:lineRule="auto"/>
        <w:rPr>
          <w:rFonts w:ascii="Times New Roman" w:hAnsi="Times New Roman" w:eastAsia="Batang;바탕" w:cs="Times New Roman"/>
          <w:sz w:val="28"/>
          <w:szCs w:val="28"/>
          <w:lang w:eastAsia="ko-KR"/>
        </w:rPr>
      </w:pPr>
      <w:r>
        <w:rPr>
          <w:rFonts w:ascii="Times New Roman" w:hAnsi="Times New Roman" w:eastAsia="Batang;바탕" w:cs="Times New Roman"/>
          <w:sz w:val="28"/>
          <w:szCs w:val="28"/>
          <w:lang w:eastAsia="ko-KR"/>
        </w:rPr>
        <w:t xml:space="preserve">информационной открытости деятельности Группы РусГидро в области охраны труда;</w:t>
      </w:r>
      <w:r>
        <w:rPr>
          <w:rFonts w:ascii="Times New Roman" w:hAnsi="Times New Roman" w:eastAsia="Batang;바탕" w:cs="Times New Roman"/>
          <w:sz w:val="28"/>
          <w:szCs w:val="28"/>
          <w:lang w:eastAsia="ko-KR"/>
        </w:rPr>
      </w:r>
    </w:p>
    <w:p>
      <w:pPr>
        <w:numPr>
          <w:ilvl w:val="0"/>
          <w:numId w:val="8"/>
        </w:numPr>
        <w:ind w:left="0" w:firstLine="709"/>
        <w:jc w:val="both"/>
        <w:spacing w:after="0" w:line="240" w:lineRule="auto"/>
        <w:rPr>
          <w:rFonts w:ascii="Times New Roman" w:hAnsi="Times New Roman" w:eastAsia="Batang;바탕" w:cs="Times New Roman"/>
          <w:sz w:val="28"/>
          <w:szCs w:val="28"/>
          <w:lang w:eastAsia="ko-KR"/>
        </w:rPr>
      </w:pPr>
      <w:r>
        <w:rPr>
          <w:rFonts w:ascii="Times New Roman" w:hAnsi="Times New Roman" w:eastAsia="Batang;바탕" w:cs="Times New Roman"/>
          <w:sz w:val="28"/>
          <w:szCs w:val="28"/>
          <w:lang w:eastAsia="ko-KR"/>
        </w:rPr>
        <w:t xml:space="preserve">неукоснительного соблюдения нормативных требова</w:t>
      </w:r>
      <w:r>
        <w:rPr>
          <w:rFonts w:ascii="Times New Roman" w:hAnsi="Times New Roman" w:eastAsia="Batang;바탕" w:cs="Times New Roman"/>
          <w:sz w:val="28"/>
          <w:szCs w:val="28"/>
          <w:lang w:eastAsia="ko-KR"/>
        </w:rPr>
        <w:t xml:space="preserve">ний охраны труда. </w:t>
      </w:r>
      <w:r>
        <w:rPr>
          <w:rFonts w:ascii="Times New Roman" w:hAnsi="Times New Roman" w:eastAsia="Batang;바탕" w:cs="Times New Roman"/>
          <w:sz w:val="28"/>
          <w:szCs w:val="28"/>
          <w:lang w:eastAsia="ko-KR"/>
        </w:rPr>
      </w:r>
    </w:p>
    <w:p>
      <w:pPr>
        <w:pStyle w:val="752"/>
        <w:ind w:left="709"/>
        <w:jc w:val="both"/>
        <w:spacing w:after="0" w:line="240" w:lineRule="auto"/>
        <w:rPr>
          <w:rFonts w:ascii="Times New Roman" w:hAnsi="Times New Roman" w:eastAsia="Batang;바탕" w:cs="Times New Roman"/>
          <w:sz w:val="28"/>
          <w:szCs w:val="28"/>
          <w:lang w:eastAsia="ko-KR"/>
        </w:rPr>
      </w:pPr>
      <w:r>
        <w:rPr>
          <w:rFonts w:ascii="Times New Roman" w:hAnsi="Times New Roman" w:eastAsia="Batang;바탕" w:cs="Times New Roman"/>
          <w:sz w:val="28"/>
          <w:szCs w:val="28"/>
          <w:lang w:eastAsia="ko-KR"/>
        </w:rPr>
      </w:r>
      <w:r>
        <w:rPr>
          <w:rFonts w:ascii="Times New Roman" w:hAnsi="Times New Roman" w:eastAsia="Batang;바탕" w:cs="Times New Roman"/>
          <w:sz w:val="28"/>
          <w:szCs w:val="28"/>
          <w:lang w:eastAsia="ko-KR"/>
        </w:rPr>
      </w:r>
    </w:p>
    <w:p>
      <w:pPr>
        <w:pStyle w:val="710"/>
        <w:numPr>
          <w:ilvl w:val="0"/>
          <w:numId w:val="3"/>
        </w:numPr>
        <w:ind w:hanging="11"/>
        <w:spacing w:before="0" w:after="0" w:line="240" w:lineRule="auto"/>
        <w:rPr>
          <w:rFonts w:ascii="Times New Roman" w:hAnsi="Times New Roman" w:eastAsia="Batang;바탕"/>
          <w:sz w:val="28"/>
          <w:szCs w:val="28"/>
          <w:lang w:eastAsia="ko-KR"/>
        </w:rPr>
      </w:pPr>
      <w:r/>
      <w:bookmarkStart w:id="10" w:name="__RefHeading___Toc213247467"/>
      <w:r/>
      <w:bookmarkEnd w:id="10"/>
      <w:r>
        <w:rPr>
          <w:rFonts w:ascii="Times New Roman" w:hAnsi="Times New Roman"/>
          <w:b w:val="0"/>
          <w:sz w:val="28"/>
          <w:szCs w:val="28"/>
        </w:rPr>
        <w:t xml:space="preserve">ОБЯЗАТЕЛЬСТВА В ОБЛАСТИ ОХРАНЫ ТРУДА</w:t>
      </w:r>
      <w:r>
        <w:rPr>
          <w:rFonts w:ascii="Times New Roman" w:hAnsi="Times New Roman" w:eastAsia="Batang;바탕"/>
          <w:sz w:val="28"/>
          <w:szCs w:val="28"/>
          <w:lang w:eastAsia="ko-KR"/>
        </w:rPr>
      </w:r>
    </w:p>
    <w:p>
      <w:pPr>
        <w:ind w:firstLine="709"/>
        <w:jc w:val="both"/>
        <w:spacing w:before="120" w:after="0" w:line="240" w:lineRule="auto"/>
        <w:rPr>
          <w:rFonts w:ascii="Times New Roman" w:hAnsi="Times New Roman" w:eastAsia="Batang;바탕" w:cs="Times New Roman"/>
          <w:sz w:val="28"/>
          <w:szCs w:val="28"/>
          <w:lang w:eastAsia="ko-KR"/>
        </w:rPr>
      </w:pPr>
      <w:r>
        <w:rPr>
          <w:rFonts w:ascii="Times New Roman" w:hAnsi="Times New Roman" w:eastAsia="Batang;바탕" w:cs="Times New Roman"/>
          <w:sz w:val="28"/>
          <w:szCs w:val="28"/>
          <w:lang w:eastAsia="ko-KR"/>
        </w:rPr>
        <w:t xml:space="preserve">В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производственной</w:t>
      </w:r>
      <w:r>
        <w:rPr>
          <w:rFonts w:ascii="Times New Roman" w:hAnsi="Times New Roman" w:eastAsia="Batang;바탕" w:cs="Times New Roman"/>
          <w:sz w:val="28"/>
          <w:szCs w:val="28"/>
          <w:lang w:eastAsia="ko-KR"/>
        </w:rPr>
        <w:t xml:space="preserve"> деятельности для достижения поставленных целей в области охраны труда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Batang;바탕" w:cs="Times New Roman"/>
          <w:sz w:val="28"/>
          <w:szCs w:val="28"/>
          <w:lang w:eastAsia="ko-KR"/>
        </w:rPr>
        <w:t xml:space="preserve">Группа РусГидро принимает на себя следующие обязательства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  <w:r>
        <w:rPr>
          <w:rFonts w:ascii="Times New Roman" w:hAnsi="Times New Roman" w:eastAsia="Batang;바탕" w:cs="Times New Roman"/>
          <w:sz w:val="28"/>
          <w:szCs w:val="28"/>
          <w:lang w:eastAsia="ko-KR"/>
        </w:rPr>
      </w:r>
    </w:p>
    <w:p>
      <w:pPr>
        <w:pStyle w:val="752"/>
        <w:numPr>
          <w:ilvl w:val="0"/>
          <w:numId w:val="9"/>
        </w:numPr>
        <w:ind w:left="0" w:firstLine="709"/>
        <w:jc w:val="both"/>
        <w:spacing w:after="0" w:line="240" w:lineRule="auto"/>
        <w:rPr>
          <w:rFonts w:ascii="Times New Roman" w:hAnsi="Times New Roman" w:eastAsia="Batang;바탕" w:cs="Times New Roman"/>
          <w:sz w:val="28"/>
          <w:szCs w:val="28"/>
          <w:lang w:eastAsia="ko-KR"/>
        </w:rPr>
      </w:pPr>
      <w:r>
        <w:rPr>
          <w:rFonts w:ascii="Times New Roman" w:hAnsi="Times New Roman" w:eastAsia="Batang;바탕" w:cs="Times New Roman"/>
          <w:sz w:val="28"/>
          <w:szCs w:val="28"/>
          <w:lang w:eastAsia="ko-KR"/>
        </w:rPr>
        <w:t xml:space="preserve">обеспечение соответствия условий труда на рабочих </w:t>
      </w:r>
      <w:r>
        <w:rPr>
          <w:rFonts w:ascii="Times New Roman" w:hAnsi="Times New Roman" w:eastAsia="Batang;바탕" w:cs="Times New Roman"/>
          <w:sz w:val="28"/>
          <w:szCs w:val="28"/>
          <w:lang w:eastAsia="ko-KR"/>
        </w:rPr>
        <w:t xml:space="preserve">местах требованиям охраны труда;</w:t>
      </w:r>
      <w:r>
        <w:rPr>
          <w:rFonts w:ascii="Times New Roman" w:hAnsi="Times New Roman" w:eastAsia="Batang;바탕" w:cs="Times New Roman"/>
          <w:sz w:val="28"/>
          <w:szCs w:val="28"/>
          <w:lang w:eastAsia="ko-KR"/>
        </w:rPr>
      </w:r>
    </w:p>
    <w:p>
      <w:pPr>
        <w:pStyle w:val="752"/>
        <w:numPr>
          <w:ilvl w:val="0"/>
          <w:numId w:val="9"/>
        </w:numPr>
        <w:ind w:left="0" w:firstLine="709"/>
        <w:jc w:val="both"/>
        <w:spacing w:after="0" w:line="240" w:lineRule="auto"/>
        <w:rPr>
          <w:rFonts w:ascii="Times New Roman" w:hAnsi="Times New Roman" w:eastAsia="Batang;바탕" w:cs="Times New Roman"/>
          <w:color w:val="000000"/>
          <w:sz w:val="28"/>
          <w:szCs w:val="28"/>
          <w:lang w:eastAsia="ko-KR"/>
        </w:rPr>
      </w:pPr>
      <w:r>
        <w:rPr>
          <w:rFonts w:ascii="Times New Roman" w:hAnsi="Times New Roman" w:eastAsia="Batang;바탕" w:cs="Times New Roman"/>
          <w:sz w:val="28"/>
          <w:szCs w:val="28"/>
          <w:lang w:eastAsia="ko-KR"/>
        </w:rPr>
        <w:t xml:space="preserve">выполнение последовательных и непрерывных мер (мероприятий) по предупреждению производственного травматизма и профессиональных заболеваний, в том числе посредством управления профессиональными рисками;</w:t>
      </w:r>
      <w:r>
        <w:rPr>
          <w:rFonts w:ascii="Times New Roman" w:hAnsi="Times New Roman" w:eastAsia="Batang;바탕" w:cs="Times New Roman"/>
          <w:color w:val="000000"/>
          <w:sz w:val="28"/>
          <w:szCs w:val="28"/>
          <w:lang w:eastAsia="ko-KR"/>
        </w:rPr>
      </w:r>
    </w:p>
    <w:p>
      <w:pPr>
        <w:pStyle w:val="752"/>
        <w:numPr>
          <w:ilvl w:val="0"/>
          <w:numId w:val="9"/>
        </w:numPr>
        <w:ind w:left="0" w:firstLine="709"/>
        <w:jc w:val="both"/>
        <w:spacing w:after="0" w:line="240" w:lineRule="auto"/>
        <w:rPr>
          <w:rFonts w:ascii="Times New Roman" w:hAnsi="Times New Roman" w:eastAsia="Batang;바탕" w:cs="Times New Roman"/>
          <w:sz w:val="28"/>
          <w:szCs w:val="28"/>
          <w:lang w:eastAsia="ko-KR"/>
        </w:rPr>
      </w:pPr>
      <w:r>
        <w:rPr>
          <w:rFonts w:ascii="Times New Roman" w:hAnsi="Times New Roman" w:eastAsia="Batang;바탕" w:cs="Times New Roman"/>
          <w:color w:val="000000"/>
          <w:sz w:val="28"/>
          <w:szCs w:val="28"/>
          <w:lang w:eastAsia="ko-KR"/>
        </w:rPr>
        <w:t xml:space="preserve">проведение</w:t>
      </w:r>
      <w:r>
        <w:rPr>
          <w:rFonts w:ascii="Times New Roman" w:hAnsi="Times New Roman" w:eastAsia="Batang;바탕" w:cs="Times New Roman"/>
          <w:sz w:val="28"/>
          <w:szCs w:val="28"/>
          <w:lang w:eastAsia="ko-KR"/>
        </w:rPr>
        <w:t xml:space="preserve"> оценки и разработка мероприятий по снижению профессиональных рисков, устранение опасностей; </w:t>
      </w:r>
      <w:r>
        <w:rPr>
          <w:rFonts w:ascii="Times New Roman" w:hAnsi="Times New Roman" w:eastAsia="Batang;바탕" w:cs="Times New Roman"/>
          <w:sz w:val="28"/>
          <w:szCs w:val="28"/>
          <w:lang w:eastAsia="ko-KR"/>
        </w:rPr>
      </w:r>
    </w:p>
    <w:p>
      <w:pPr>
        <w:pStyle w:val="752"/>
        <w:numPr>
          <w:ilvl w:val="0"/>
          <w:numId w:val="9"/>
        </w:numPr>
        <w:ind w:left="0" w:firstLine="709"/>
        <w:jc w:val="both"/>
        <w:spacing w:after="0" w:line="240" w:lineRule="auto"/>
        <w:rPr>
          <w:rFonts w:ascii="Times New Roman" w:hAnsi="Times New Roman" w:eastAsia="Batang;바탕" w:cs="Times New Roman"/>
          <w:sz w:val="28"/>
          <w:szCs w:val="28"/>
          <w:lang w:eastAsia="ko-KR"/>
        </w:rPr>
      </w:pPr>
      <w:r>
        <w:rPr>
          <w:rFonts w:ascii="Times New Roman" w:hAnsi="Times New Roman" w:eastAsia="Batang;바탕" w:cs="Times New Roman"/>
          <w:sz w:val="28"/>
          <w:szCs w:val="28"/>
          <w:lang w:eastAsia="ko-KR"/>
        </w:rPr>
        <w:t xml:space="preserve">создание условий по привлечению работников и их представительных органов к участию в управлении охраной труда, деятельности по исключению профессиональных рисков,</w:t>
      </w:r>
      <w:r>
        <w:rPr>
          <w:rFonts w:ascii="Times New Roman" w:hAnsi="Times New Roman" w:eastAsia="Batang;바탕" w:cs="Times New Roman"/>
          <w:sz w:val="28"/>
          <w:szCs w:val="28"/>
          <w:lang w:eastAsia="ko-KR"/>
        </w:rPr>
        <w:t xml:space="preserve"> производственного травматизма и профессиональных заболеваний, содействии в постоянном улучшении системы управления охраной труда и реализации Политики и поощрение такого участия;</w:t>
      </w:r>
      <w:r>
        <w:rPr>
          <w:rFonts w:ascii="Times New Roman" w:hAnsi="Times New Roman" w:eastAsia="Batang;바탕" w:cs="Times New Roman"/>
          <w:sz w:val="28"/>
          <w:szCs w:val="28"/>
          <w:lang w:eastAsia="ko-KR"/>
        </w:rPr>
      </w:r>
    </w:p>
    <w:p>
      <w:pPr>
        <w:pStyle w:val="752"/>
        <w:numPr>
          <w:ilvl w:val="0"/>
          <w:numId w:val="9"/>
        </w:numPr>
        <w:ind w:left="0" w:firstLine="709"/>
        <w:jc w:val="both"/>
        <w:spacing w:after="0" w:line="240" w:lineRule="auto"/>
        <w:rPr>
          <w:rFonts w:ascii="Times New Roman" w:hAnsi="Times New Roman" w:eastAsia="Batang;바탕" w:cs="Times New Roman"/>
          <w:sz w:val="28"/>
          <w:szCs w:val="28"/>
          <w:lang w:eastAsia="ko-KR"/>
        </w:rPr>
      </w:pPr>
      <w:r>
        <w:rPr>
          <w:rFonts w:ascii="Times New Roman" w:hAnsi="Times New Roman" w:eastAsia="Batang;바탕" w:cs="Times New Roman"/>
          <w:sz w:val="28"/>
          <w:szCs w:val="28"/>
          <w:lang w:eastAsia="ko-KR"/>
        </w:rPr>
        <w:t xml:space="preserve">применение принципа «нулевой порог терпимости к нарушениям требований произв</w:t>
      </w:r>
      <w:r>
        <w:rPr>
          <w:rFonts w:ascii="Times New Roman" w:hAnsi="Times New Roman" w:eastAsia="Batang;바탕" w:cs="Times New Roman"/>
          <w:sz w:val="28"/>
          <w:szCs w:val="28"/>
          <w:lang w:eastAsia="ko-KR"/>
        </w:rPr>
        <w:t xml:space="preserve">одственной безопасности и правил охраны труда», в том числе к персональной ответственности каждого работника за несоблюдение требований безопасности и допущение нарушений, способных причинить ущерб здоровью и жизни работников; </w:t>
      </w:r>
      <w:r>
        <w:rPr>
          <w:rFonts w:ascii="Times New Roman" w:hAnsi="Times New Roman" w:eastAsia="Batang;바탕" w:cs="Times New Roman"/>
          <w:sz w:val="28"/>
          <w:szCs w:val="28"/>
          <w:lang w:eastAsia="ko-KR"/>
        </w:rPr>
      </w:r>
    </w:p>
    <w:p>
      <w:pPr>
        <w:pStyle w:val="752"/>
        <w:numPr>
          <w:ilvl w:val="0"/>
          <w:numId w:val="9"/>
        </w:numPr>
        <w:ind w:left="0" w:firstLine="709"/>
        <w:jc w:val="both"/>
        <w:spacing w:after="0" w:line="240" w:lineRule="auto"/>
        <w:rPr>
          <w:rFonts w:ascii="Times New Roman" w:hAnsi="Times New Roman" w:eastAsia="Batang;바탕" w:cs="Times New Roman"/>
          <w:sz w:val="28"/>
          <w:szCs w:val="28"/>
          <w:lang w:eastAsia="ko-KR"/>
        </w:rPr>
      </w:pPr>
      <w:r>
        <w:rPr>
          <w:rFonts w:ascii="Times New Roman" w:hAnsi="Times New Roman" w:eastAsia="Batang;바탕" w:cs="Times New Roman"/>
          <w:sz w:val="28"/>
          <w:szCs w:val="28"/>
          <w:lang w:eastAsia="ko-KR"/>
        </w:rPr>
        <w:t xml:space="preserve">обеспечение правом каждого р</w:t>
      </w:r>
      <w:r>
        <w:rPr>
          <w:rFonts w:ascii="Times New Roman" w:hAnsi="Times New Roman" w:eastAsia="Batang;바탕" w:cs="Times New Roman"/>
          <w:sz w:val="28"/>
          <w:szCs w:val="28"/>
          <w:lang w:eastAsia="ko-KR"/>
        </w:rPr>
        <w:t xml:space="preserve">аботника на отказ от выполнения работ в случае возникновения опасности для его жизни и здоровья вследствие нарушения требований охраны труда до устранения такой опасности, за исключением случаев, предусмотренных законодательством;</w:t>
      </w:r>
      <w:r>
        <w:rPr>
          <w:rFonts w:ascii="Times New Roman" w:hAnsi="Times New Roman" w:eastAsia="Batang;바탕" w:cs="Times New Roman"/>
          <w:sz w:val="28"/>
          <w:szCs w:val="28"/>
          <w:lang w:eastAsia="ko-KR"/>
        </w:rPr>
      </w:r>
    </w:p>
    <w:p>
      <w:pPr>
        <w:pStyle w:val="752"/>
        <w:numPr>
          <w:ilvl w:val="0"/>
          <w:numId w:val="9"/>
        </w:numPr>
        <w:ind w:left="0" w:firstLine="709"/>
        <w:jc w:val="both"/>
        <w:spacing w:after="0" w:line="240" w:lineRule="auto"/>
        <w:rPr>
          <w:rFonts w:ascii="Times New Roman" w:hAnsi="Times New Roman" w:eastAsia="Batang;바탕" w:cs="Times New Roman"/>
          <w:sz w:val="28"/>
          <w:szCs w:val="28"/>
          <w:lang w:eastAsia="ko-KR"/>
        </w:rPr>
      </w:pPr>
      <w:r>
        <w:rPr>
          <w:rFonts w:ascii="Times New Roman" w:hAnsi="Times New Roman" w:eastAsia="Batang;바탕" w:cs="Times New Roman"/>
          <w:sz w:val="28"/>
          <w:szCs w:val="28"/>
          <w:lang w:eastAsia="ko-KR"/>
        </w:rPr>
        <w:t xml:space="preserve">обеспечение гарантий безо</w:t>
      </w:r>
      <w:r>
        <w:rPr>
          <w:rFonts w:ascii="Times New Roman" w:hAnsi="Times New Roman" w:eastAsia="Batang;바탕" w:cs="Times New Roman"/>
          <w:sz w:val="28"/>
          <w:szCs w:val="28"/>
          <w:lang w:eastAsia="ko-KR"/>
        </w:rPr>
        <w:t xml:space="preserve">пасности и конфиденциальности работников при сообщении о любых происшествиях, способных причинить ущерб здоровью и жизни работников;</w:t>
      </w:r>
      <w:r>
        <w:rPr>
          <w:rFonts w:ascii="Times New Roman" w:hAnsi="Times New Roman" w:eastAsia="Batang;바탕" w:cs="Times New Roman"/>
          <w:sz w:val="28"/>
          <w:szCs w:val="28"/>
          <w:lang w:eastAsia="ko-KR"/>
        </w:rPr>
      </w:r>
    </w:p>
    <w:p>
      <w:pPr>
        <w:pStyle w:val="752"/>
        <w:numPr>
          <w:ilvl w:val="0"/>
          <w:numId w:val="9"/>
        </w:numPr>
        <w:ind w:left="0" w:firstLine="709"/>
        <w:jc w:val="both"/>
        <w:spacing w:after="0" w:line="240" w:lineRule="auto"/>
        <w:rPr>
          <w:rFonts w:ascii="Times New Roman" w:hAnsi="Times New Roman" w:eastAsia="Batang;바탕" w:cs="Times New Roman"/>
          <w:sz w:val="28"/>
          <w:szCs w:val="28"/>
          <w:lang w:eastAsia="ko-KR"/>
        </w:rPr>
      </w:pPr>
      <w:r>
        <w:rPr>
          <w:rFonts w:ascii="Times New Roman" w:hAnsi="Times New Roman" w:eastAsia="Batang;바탕" w:cs="Times New Roman"/>
          <w:sz w:val="28"/>
          <w:szCs w:val="28"/>
          <w:lang w:eastAsia="ko-KR"/>
        </w:rPr>
        <w:t xml:space="preserve">реализация системы мотивации, стимулирующей работников к безусловному соблюдению требований охраны труда; </w:t>
      </w:r>
      <w:r>
        <w:rPr>
          <w:rFonts w:ascii="Times New Roman" w:hAnsi="Times New Roman" w:eastAsia="Batang;바탕" w:cs="Times New Roman"/>
          <w:sz w:val="28"/>
          <w:szCs w:val="28"/>
          <w:lang w:eastAsia="ko-KR"/>
        </w:rPr>
      </w:r>
    </w:p>
    <w:p>
      <w:pPr>
        <w:pStyle w:val="752"/>
        <w:numPr>
          <w:ilvl w:val="0"/>
          <w:numId w:val="9"/>
        </w:numPr>
        <w:ind w:left="0" w:firstLine="709"/>
        <w:jc w:val="both"/>
        <w:spacing w:after="0" w:line="240" w:lineRule="auto"/>
        <w:rPr>
          <w:rFonts w:ascii="Times New Roman" w:hAnsi="Times New Roman" w:eastAsia="Batang;바탕" w:cs="Times New Roman"/>
          <w:sz w:val="28"/>
          <w:szCs w:val="28"/>
          <w:lang w:eastAsia="ko-KR"/>
        </w:rPr>
      </w:pPr>
      <w:r>
        <w:rPr>
          <w:rFonts w:ascii="Times New Roman" w:hAnsi="Times New Roman" w:eastAsia="Batang;바탕" w:cs="Times New Roman"/>
          <w:sz w:val="28"/>
          <w:szCs w:val="28"/>
          <w:lang w:eastAsia="ko-KR"/>
        </w:rPr>
        <w:t xml:space="preserve">обеспечение усло</w:t>
      </w:r>
      <w:r>
        <w:rPr>
          <w:rFonts w:ascii="Times New Roman" w:hAnsi="Times New Roman" w:eastAsia="Batang;바탕" w:cs="Times New Roman"/>
          <w:sz w:val="28"/>
          <w:szCs w:val="28"/>
          <w:lang w:eastAsia="ko-KR"/>
        </w:rPr>
        <w:t xml:space="preserve">вий по снижению и исключению ошибок персонала, приводящих к травматизму;</w:t>
      </w:r>
      <w:r>
        <w:rPr>
          <w:rFonts w:ascii="Times New Roman" w:hAnsi="Times New Roman" w:eastAsia="Batang;바탕" w:cs="Times New Roman"/>
          <w:sz w:val="28"/>
          <w:szCs w:val="28"/>
          <w:lang w:eastAsia="ko-KR"/>
        </w:rPr>
      </w:r>
    </w:p>
    <w:p>
      <w:pPr>
        <w:pStyle w:val="752"/>
        <w:numPr>
          <w:ilvl w:val="0"/>
          <w:numId w:val="9"/>
        </w:numPr>
        <w:ind w:left="0" w:firstLine="709"/>
        <w:jc w:val="both"/>
        <w:spacing w:after="0" w:line="240" w:lineRule="auto"/>
        <w:rPr>
          <w:rFonts w:ascii="Times New Roman" w:hAnsi="Times New Roman" w:eastAsia="Batang;바탕" w:cs="Times New Roman"/>
          <w:sz w:val="28"/>
          <w:szCs w:val="28"/>
          <w:lang w:eastAsia="ko-KR"/>
        </w:rPr>
      </w:pPr>
      <w:r>
        <w:rPr>
          <w:rFonts w:ascii="Times New Roman" w:hAnsi="Times New Roman" w:eastAsia="Batang;바탕" w:cs="Times New Roman"/>
          <w:sz w:val="28"/>
          <w:szCs w:val="28"/>
          <w:lang w:eastAsia="ko-KR"/>
        </w:rPr>
        <w:t xml:space="preserve">обеспечение расследования каждого несчастного случая и профессионального заболевания, проведение анализа произошедших несчастных случаев на производстве с целью выявления истинных при</w:t>
      </w:r>
      <w:r>
        <w:rPr>
          <w:rFonts w:ascii="Times New Roman" w:hAnsi="Times New Roman" w:eastAsia="Batang;바탕" w:cs="Times New Roman"/>
          <w:sz w:val="28"/>
          <w:szCs w:val="28"/>
          <w:lang w:eastAsia="ko-KR"/>
        </w:rPr>
        <w:t xml:space="preserve">чин, поиска путей снижения травматизма и предотвращения подобных случаев;  </w:t>
      </w:r>
      <w:r>
        <w:rPr>
          <w:rFonts w:ascii="Times New Roman" w:hAnsi="Times New Roman" w:eastAsia="Batang;바탕" w:cs="Times New Roman"/>
          <w:sz w:val="28"/>
          <w:szCs w:val="28"/>
          <w:lang w:eastAsia="ko-KR"/>
        </w:rPr>
      </w:r>
    </w:p>
    <w:p>
      <w:pPr>
        <w:pStyle w:val="752"/>
        <w:numPr>
          <w:ilvl w:val="0"/>
          <w:numId w:val="9"/>
        </w:numPr>
        <w:ind w:left="0" w:firstLine="709"/>
        <w:jc w:val="both"/>
        <w:spacing w:after="0" w:line="240" w:lineRule="auto"/>
        <w:rPr>
          <w:rFonts w:ascii="Times New Roman" w:hAnsi="Times New Roman" w:eastAsia="Batang;바탕" w:cs="Times New Roman"/>
          <w:sz w:val="28"/>
          <w:szCs w:val="28"/>
          <w:lang w:eastAsia="ko-KR"/>
        </w:rPr>
      </w:pPr>
      <w:r>
        <w:rPr>
          <w:rFonts w:ascii="Times New Roman" w:hAnsi="Times New Roman" w:eastAsia="Batang;바탕" w:cs="Times New Roman"/>
          <w:sz w:val="28"/>
          <w:szCs w:val="28"/>
          <w:lang w:eastAsia="ko-KR"/>
        </w:rPr>
        <w:t xml:space="preserve">информирование работников и иных заинтересованных сторон, на которых могут распространяться производственные факторы объектов Группы РусГидро, об условиях труда и существующих риск</w:t>
      </w:r>
      <w:r>
        <w:rPr>
          <w:rFonts w:ascii="Times New Roman" w:hAnsi="Times New Roman" w:eastAsia="Batang;바탕" w:cs="Times New Roman"/>
          <w:sz w:val="28"/>
          <w:szCs w:val="28"/>
          <w:lang w:eastAsia="ko-KR"/>
        </w:rPr>
        <w:t xml:space="preserve">ах, о мерах по защите от воздействия вредных и опасных производственных факторах; </w:t>
      </w:r>
      <w:r>
        <w:rPr>
          <w:rFonts w:ascii="Times New Roman" w:hAnsi="Times New Roman" w:eastAsia="Batang;바탕" w:cs="Times New Roman"/>
          <w:sz w:val="28"/>
          <w:szCs w:val="28"/>
          <w:lang w:eastAsia="ko-KR"/>
        </w:rPr>
      </w:r>
    </w:p>
    <w:p>
      <w:pPr>
        <w:pStyle w:val="752"/>
        <w:numPr>
          <w:ilvl w:val="0"/>
          <w:numId w:val="9"/>
        </w:numPr>
        <w:ind w:left="0" w:firstLine="709"/>
        <w:jc w:val="both"/>
        <w:spacing w:after="0" w:line="240" w:lineRule="auto"/>
        <w:rPr>
          <w:rFonts w:ascii="Times New Roman" w:hAnsi="Times New Roman" w:eastAsia="Batang;바탕" w:cs="Times New Roman"/>
          <w:sz w:val="28"/>
          <w:szCs w:val="28"/>
          <w:lang w:eastAsia="ko-KR"/>
        </w:rPr>
      </w:pPr>
      <w:r>
        <w:rPr>
          <w:rFonts w:ascii="Times New Roman" w:hAnsi="Times New Roman" w:eastAsia="Batang;바탕" w:cs="Times New Roman"/>
          <w:sz w:val="28"/>
          <w:szCs w:val="28"/>
          <w:lang w:eastAsia="ko-KR"/>
        </w:rPr>
        <w:t xml:space="preserve">обеспечение функционирования единой скоординированной системы профессионального отбора и обучения кадров;</w:t>
      </w:r>
      <w:r>
        <w:rPr>
          <w:rFonts w:ascii="Times New Roman" w:hAnsi="Times New Roman" w:eastAsia="Batang;바탕" w:cs="Times New Roman"/>
          <w:sz w:val="28"/>
          <w:szCs w:val="28"/>
          <w:lang w:eastAsia="ko-KR"/>
        </w:rPr>
      </w:r>
    </w:p>
    <w:p>
      <w:pPr>
        <w:pStyle w:val="752"/>
        <w:numPr>
          <w:ilvl w:val="0"/>
          <w:numId w:val="9"/>
        </w:numPr>
        <w:ind w:left="0" w:firstLine="709"/>
        <w:jc w:val="both"/>
        <w:spacing w:after="0" w:line="240" w:lineRule="auto"/>
        <w:rPr>
          <w:rFonts w:ascii="Times New Roman" w:hAnsi="Times New Roman" w:eastAsia="Batang;바탕" w:cs="Times New Roman"/>
          <w:sz w:val="28"/>
          <w:szCs w:val="28"/>
          <w:lang w:eastAsia="ko-KR"/>
        </w:rPr>
      </w:pPr>
      <w:r>
        <w:rPr>
          <w:rFonts w:ascii="Times New Roman" w:hAnsi="Times New Roman" w:eastAsia="Batang;바탕" w:cs="Times New Roman"/>
          <w:sz w:val="28"/>
          <w:szCs w:val="28"/>
          <w:lang w:eastAsia="ko-KR"/>
        </w:rPr>
        <w:t xml:space="preserve">повышение уровня квалификации и подготовки работников в области охр</w:t>
      </w:r>
      <w:r>
        <w:rPr>
          <w:rFonts w:ascii="Times New Roman" w:hAnsi="Times New Roman" w:eastAsia="Batang;바탕" w:cs="Times New Roman"/>
          <w:sz w:val="28"/>
          <w:szCs w:val="28"/>
          <w:lang w:eastAsia="ko-KR"/>
        </w:rPr>
        <w:t xml:space="preserve">аны труда и безопасного производства работ, совершенствование системы обучения в области безопасного проведения работ; подготовка персонала к решению разнообразных задач в области охраны труда, обучение методам организации безопасных условий труда в соотве</w:t>
      </w:r>
      <w:r>
        <w:rPr>
          <w:rFonts w:ascii="Times New Roman" w:hAnsi="Times New Roman" w:eastAsia="Batang;바탕" w:cs="Times New Roman"/>
          <w:sz w:val="28"/>
          <w:szCs w:val="28"/>
          <w:lang w:eastAsia="ko-KR"/>
        </w:rPr>
        <w:t xml:space="preserve">тствующих условиях;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Batang;바탕" w:cs="Times New Roman"/>
          <w:sz w:val="28"/>
          <w:szCs w:val="28"/>
          <w:lang w:eastAsia="ko-KR"/>
        </w:rPr>
      </w:r>
    </w:p>
    <w:p>
      <w:pPr>
        <w:pStyle w:val="752"/>
        <w:numPr>
          <w:ilvl w:val="0"/>
          <w:numId w:val="9"/>
        </w:numPr>
        <w:ind w:left="0" w:firstLine="709"/>
        <w:jc w:val="both"/>
        <w:spacing w:after="0" w:line="240" w:lineRule="auto"/>
        <w:rPr>
          <w:rFonts w:ascii="Times New Roman" w:hAnsi="Times New Roman" w:eastAsia="Batang;바탕" w:cs="Times New Roman"/>
          <w:sz w:val="28"/>
          <w:szCs w:val="28"/>
          <w:lang w:eastAsia="ko-KR"/>
        </w:rPr>
      </w:pPr>
      <w:r>
        <w:rPr>
          <w:rFonts w:ascii="Times New Roman" w:hAnsi="Times New Roman" w:eastAsia="Batang;바탕" w:cs="Times New Roman"/>
          <w:sz w:val="28"/>
          <w:szCs w:val="28"/>
          <w:lang w:eastAsia="ko-KR"/>
        </w:rPr>
        <w:t xml:space="preserve">пропаганда необходимости и значимости соблюдения требований охраны труда как фактора сохранения жизни и здоровья работников;</w:t>
      </w:r>
      <w:r>
        <w:rPr>
          <w:rFonts w:ascii="Times New Roman" w:hAnsi="Times New Roman" w:eastAsia="Batang;바탕" w:cs="Times New Roman"/>
          <w:sz w:val="28"/>
          <w:szCs w:val="28"/>
          <w:lang w:eastAsia="ko-KR"/>
        </w:rPr>
      </w:r>
    </w:p>
    <w:p>
      <w:pPr>
        <w:pStyle w:val="752"/>
        <w:numPr>
          <w:ilvl w:val="0"/>
          <w:numId w:val="9"/>
        </w:numPr>
        <w:ind w:left="0" w:firstLine="709"/>
        <w:jc w:val="both"/>
        <w:spacing w:after="0" w:line="240" w:lineRule="auto"/>
        <w:rPr>
          <w:rFonts w:ascii="Times New Roman" w:hAnsi="Times New Roman" w:eastAsia="Batang;바탕" w:cs="Times New Roman"/>
          <w:sz w:val="28"/>
          <w:szCs w:val="28"/>
          <w:lang w:eastAsia="ko-KR"/>
        </w:rPr>
      </w:pPr>
      <w:r>
        <w:rPr>
          <w:rFonts w:ascii="Times New Roman" w:hAnsi="Times New Roman" w:eastAsia="Batang;바탕" w:cs="Times New Roman"/>
          <w:sz w:val="28"/>
          <w:szCs w:val="28"/>
          <w:lang w:eastAsia="ko-KR"/>
        </w:rPr>
        <w:t xml:space="preserve">обеспечение функционирования систем контроля за условиями труда на рабочих местах, за выполнением нормативных </w:t>
      </w:r>
      <w:r>
        <w:rPr>
          <w:rFonts w:ascii="Times New Roman" w:hAnsi="Times New Roman" w:eastAsia="Batang;바탕" w:cs="Times New Roman"/>
          <w:sz w:val="28"/>
          <w:szCs w:val="28"/>
          <w:lang w:eastAsia="ko-KR"/>
        </w:rPr>
        <w:t xml:space="preserve">требований в области охраны труда, в том числе подрядными организациями, выполняющими работы на объектах Группы РусГидро; </w:t>
      </w:r>
      <w:r>
        <w:rPr>
          <w:rFonts w:ascii="Times New Roman" w:hAnsi="Times New Roman" w:eastAsia="Batang;바탕" w:cs="Times New Roman"/>
          <w:sz w:val="28"/>
          <w:szCs w:val="28"/>
          <w:lang w:eastAsia="ko-KR"/>
        </w:rPr>
      </w:r>
    </w:p>
    <w:p>
      <w:pPr>
        <w:pStyle w:val="752"/>
        <w:numPr>
          <w:ilvl w:val="0"/>
          <w:numId w:val="9"/>
        </w:numPr>
        <w:ind w:left="0" w:firstLine="709"/>
        <w:jc w:val="both"/>
        <w:spacing w:after="0" w:line="240" w:lineRule="auto"/>
        <w:rPr>
          <w:rFonts w:ascii="Times New Roman" w:hAnsi="Times New Roman" w:eastAsia="Batang;바탕" w:cs="Times New Roman"/>
          <w:sz w:val="28"/>
          <w:szCs w:val="28"/>
          <w:lang w:eastAsia="ko-KR"/>
        </w:rPr>
      </w:pPr>
      <w:r>
        <w:rPr>
          <w:rFonts w:ascii="Times New Roman" w:hAnsi="Times New Roman" w:eastAsia="Batang;바탕" w:cs="Times New Roman"/>
          <w:sz w:val="28"/>
          <w:szCs w:val="28"/>
          <w:lang w:eastAsia="ko-KR"/>
        </w:rPr>
        <w:t xml:space="preserve">учет индивидуальных особенностей работников, в том числе посредством проектирования рабочих мест, выбора оборудования, инструментов, </w:t>
      </w:r>
      <w:r>
        <w:rPr>
          <w:rFonts w:ascii="Times New Roman" w:hAnsi="Times New Roman" w:eastAsia="Batang;바탕" w:cs="Times New Roman"/>
          <w:sz w:val="28"/>
          <w:szCs w:val="28"/>
          <w:lang w:eastAsia="ko-KR"/>
        </w:rPr>
        <w:t xml:space="preserve">сырья и материалов, средств индивидуальной и коллективной защиты, построения производственных и технологических процессов;</w:t>
      </w:r>
      <w:r>
        <w:rPr>
          <w:rFonts w:ascii="Times New Roman" w:hAnsi="Times New Roman" w:eastAsia="Batang;바탕" w:cs="Times New Roman"/>
          <w:sz w:val="28"/>
          <w:szCs w:val="28"/>
          <w:lang w:eastAsia="ko-KR"/>
        </w:rPr>
      </w:r>
    </w:p>
    <w:p>
      <w:pPr>
        <w:pStyle w:val="752"/>
        <w:numPr>
          <w:ilvl w:val="0"/>
          <w:numId w:val="9"/>
        </w:numPr>
        <w:ind w:left="0" w:firstLine="709"/>
        <w:jc w:val="both"/>
        <w:spacing w:after="0" w:line="240" w:lineRule="auto"/>
        <w:rPr>
          <w:rFonts w:ascii="Times New Roman" w:hAnsi="Times New Roman" w:eastAsia="Batang;바탕" w:cs="Times New Roman"/>
          <w:sz w:val="28"/>
          <w:szCs w:val="28"/>
          <w:lang w:eastAsia="ko-KR"/>
        </w:rPr>
      </w:pPr>
      <w:r>
        <w:rPr>
          <w:rFonts w:ascii="Times New Roman" w:hAnsi="Times New Roman" w:eastAsia="Batang;바탕" w:cs="Times New Roman"/>
          <w:sz w:val="28"/>
          <w:szCs w:val="28"/>
          <w:lang w:eastAsia="ko-KR"/>
        </w:rPr>
        <w:t xml:space="preserve">применение современных, доступных технологий в сфере обеспечения безопасности труда;</w:t>
      </w:r>
      <w:r>
        <w:rPr>
          <w:rFonts w:ascii="Times New Roman" w:hAnsi="Times New Roman" w:eastAsia="Batang;바탕" w:cs="Times New Roman"/>
          <w:sz w:val="28"/>
          <w:szCs w:val="28"/>
          <w:lang w:eastAsia="ko-KR"/>
        </w:rPr>
      </w:r>
    </w:p>
    <w:p>
      <w:pPr>
        <w:pStyle w:val="752"/>
        <w:numPr>
          <w:ilvl w:val="0"/>
          <w:numId w:val="9"/>
        </w:numPr>
        <w:ind w:left="0" w:firstLine="709"/>
        <w:jc w:val="both"/>
        <w:spacing w:after="0" w:line="240" w:lineRule="auto"/>
        <w:rPr>
          <w:rFonts w:ascii="Times New Roman" w:hAnsi="Times New Roman" w:eastAsia="Batang;바탕" w:cs="Times New Roman"/>
          <w:sz w:val="28"/>
          <w:szCs w:val="28"/>
          <w:lang w:eastAsia="ko-KR"/>
        </w:rPr>
      </w:pPr>
      <w:r>
        <w:rPr>
          <w:rFonts w:ascii="Times New Roman" w:hAnsi="Times New Roman" w:eastAsia="Batang;바탕" w:cs="Times New Roman"/>
          <w:sz w:val="28"/>
          <w:szCs w:val="28"/>
          <w:lang w:eastAsia="ko-KR"/>
        </w:rPr>
        <w:t xml:space="preserve">проведение, стимулирование и внедрение результат</w:t>
      </w:r>
      <w:r>
        <w:rPr>
          <w:rFonts w:ascii="Times New Roman" w:hAnsi="Times New Roman" w:eastAsia="Batang;바탕" w:cs="Times New Roman"/>
          <w:sz w:val="28"/>
          <w:szCs w:val="28"/>
          <w:lang w:eastAsia="ko-KR"/>
        </w:rPr>
        <w:t xml:space="preserve">ов научных исследований, опытно-конструкторских разработок, направленных на повышение безопасности персонала; </w:t>
      </w:r>
      <w:r>
        <w:rPr>
          <w:rFonts w:ascii="Times New Roman" w:hAnsi="Times New Roman" w:eastAsia="Batang;바탕" w:cs="Times New Roman"/>
          <w:sz w:val="28"/>
          <w:szCs w:val="28"/>
          <w:lang w:eastAsia="ko-KR"/>
        </w:rPr>
      </w:r>
    </w:p>
    <w:p>
      <w:pPr>
        <w:pStyle w:val="752"/>
        <w:numPr>
          <w:ilvl w:val="0"/>
          <w:numId w:val="9"/>
        </w:numPr>
        <w:ind w:left="0" w:firstLine="709"/>
        <w:jc w:val="both"/>
        <w:spacing w:after="0" w:line="240" w:lineRule="auto"/>
        <w:rPr>
          <w:rFonts w:ascii="Times New Roman" w:hAnsi="Times New Roman" w:eastAsia="Batang;바탕" w:cs="Times New Roman"/>
          <w:sz w:val="28"/>
          <w:szCs w:val="28"/>
          <w:lang w:eastAsia="ko-KR"/>
        </w:rPr>
      </w:pPr>
      <w:r>
        <w:rPr>
          <w:rFonts w:ascii="Times New Roman" w:hAnsi="Times New Roman" w:eastAsia="Batang;바탕" w:cs="Times New Roman"/>
          <w:sz w:val="28"/>
          <w:szCs w:val="28"/>
          <w:lang w:eastAsia="ko-KR"/>
        </w:rPr>
        <w:t xml:space="preserve">вывод из эксплуатации экономически неэффективного, физически и морально устаревшего энергетического оборудования с введением необходимого объема </w:t>
      </w:r>
      <w:r>
        <w:rPr>
          <w:rFonts w:ascii="Times New Roman" w:hAnsi="Times New Roman" w:eastAsia="Batang;바탕" w:cs="Times New Roman"/>
          <w:sz w:val="28"/>
          <w:szCs w:val="28"/>
          <w:lang w:eastAsia="ko-KR"/>
        </w:rPr>
        <w:t xml:space="preserve">новых современных мощностей, внедрения и использования передовых технологий, обеспечивающих повышенный уровень безопасности при осуществлении производственной деятельности;</w:t>
      </w:r>
      <w:r>
        <w:rPr>
          <w:rFonts w:ascii="Times New Roman" w:hAnsi="Times New Roman" w:eastAsia="Batang;바탕" w:cs="Times New Roman"/>
          <w:sz w:val="28"/>
          <w:szCs w:val="28"/>
          <w:lang w:eastAsia="ko-KR"/>
        </w:rPr>
      </w:r>
    </w:p>
    <w:p>
      <w:pPr>
        <w:pStyle w:val="752"/>
        <w:numPr>
          <w:ilvl w:val="0"/>
          <w:numId w:val="9"/>
        </w:numPr>
        <w:ind w:left="0" w:firstLine="709"/>
        <w:jc w:val="both"/>
        <w:spacing w:after="0" w:line="240" w:lineRule="auto"/>
        <w:rPr>
          <w:rFonts w:ascii="Times New Roman" w:hAnsi="Times New Roman" w:eastAsia="Batang;바탕" w:cs="Times New Roman"/>
          <w:sz w:val="28"/>
          <w:szCs w:val="28"/>
          <w:lang w:eastAsia="ko-KR"/>
        </w:rPr>
      </w:pPr>
      <w:r>
        <w:rPr>
          <w:rFonts w:ascii="Times New Roman" w:hAnsi="Times New Roman" w:eastAsia="Batang;바탕" w:cs="Times New Roman"/>
          <w:sz w:val="28"/>
          <w:szCs w:val="28"/>
          <w:lang w:eastAsia="ko-KR"/>
        </w:rPr>
        <w:t xml:space="preserve">обеспечение качества ремонтов, проводимых на объектах Группы РусГидро, проведение с</w:t>
      </w:r>
      <w:r>
        <w:rPr>
          <w:rFonts w:ascii="Times New Roman" w:hAnsi="Times New Roman" w:eastAsia="Batang;바탕" w:cs="Times New Roman"/>
          <w:sz w:val="28"/>
          <w:szCs w:val="28"/>
          <w:lang w:eastAsia="ko-KR"/>
        </w:rPr>
        <w:t xml:space="preserve">воевременных ремонтов с целью повышения безопасности выполняемых работ;</w:t>
      </w:r>
      <w:r>
        <w:rPr>
          <w:rFonts w:ascii="Times New Roman" w:hAnsi="Times New Roman" w:eastAsia="Batang;바탕" w:cs="Times New Roman"/>
          <w:sz w:val="28"/>
          <w:szCs w:val="28"/>
          <w:lang w:eastAsia="ko-KR"/>
        </w:rPr>
      </w:r>
    </w:p>
    <w:p>
      <w:pPr>
        <w:pStyle w:val="752"/>
        <w:numPr>
          <w:ilvl w:val="0"/>
          <w:numId w:val="9"/>
        </w:numPr>
        <w:ind w:left="0" w:firstLine="709"/>
        <w:jc w:val="both"/>
        <w:spacing w:after="0" w:line="240" w:lineRule="auto"/>
        <w:rPr>
          <w:rFonts w:ascii="Times New Roman" w:hAnsi="Times New Roman" w:eastAsia="Batang;바탕" w:cs="Times New Roman"/>
          <w:sz w:val="28"/>
          <w:szCs w:val="28"/>
          <w:lang w:eastAsia="ko-KR"/>
        </w:rPr>
      </w:pPr>
      <w:r>
        <w:rPr>
          <w:rFonts w:ascii="Times New Roman" w:hAnsi="Times New Roman" w:eastAsia="Batang;바탕" w:cs="Times New Roman"/>
          <w:sz w:val="28"/>
          <w:szCs w:val="28"/>
          <w:lang w:eastAsia="ko-KR"/>
        </w:rPr>
        <w:t xml:space="preserve">обеспечение качества проектирования вновь вводимых объектов и оборудования, обеспечивающих безопасные условия труда, надежность работы оборудования;</w:t>
      </w:r>
      <w:r>
        <w:rPr>
          <w:rFonts w:ascii="Times New Roman" w:hAnsi="Times New Roman" w:eastAsia="Batang;바탕" w:cs="Times New Roman"/>
          <w:sz w:val="28"/>
          <w:szCs w:val="28"/>
          <w:lang w:eastAsia="ko-KR"/>
        </w:rPr>
      </w:r>
    </w:p>
    <w:p>
      <w:pPr>
        <w:pStyle w:val="752"/>
        <w:numPr>
          <w:ilvl w:val="0"/>
          <w:numId w:val="9"/>
        </w:numPr>
        <w:ind w:left="0" w:firstLine="709"/>
        <w:jc w:val="both"/>
        <w:spacing w:after="0" w:line="240" w:lineRule="auto"/>
        <w:rPr>
          <w:rFonts w:ascii="Times New Roman" w:hAnsi="Times New Roman" w:eastAsia="Batang;바탕" w:cs="Times New Roman"/>
          <w:sz w:val="28"/>
          <w:szCs w:val="28"/>
          <w:lang w:eastAsia="ko-KR"/>
        </w:rPr>
      </w:pPr>
      <w:r>
        <w:rPr>
          <w:rFonts w:ascii="Times New Roman" w:hAnsi="Times New Roman" w:eastAsia="Batang;바탕" w:cs="Times New Roman"/>
          <w:sz w:val="28"/>
          <w:szCs w:val="28"/>
          <w:lang w:eastAsia="ko-KR"/>
        </w:rPr>
        <w:t xml:space="preserve">обеспечение качественного отбора и </w:t>
      </w:r>
      <w:r>
        <w:rPr>
          <w:rFonts w:ascii="Times New Roman" w:hAnsi="Times New Roman" w:eastAsia="Batang;바탕" w:cs="Times New Roman"/>
          <w:sz w:val="28"/>
          <w:szCs w:val="28"/>
          <w:lang w:eastAsia="ko-KR"/>
        </w:rPr>
        <w:t xml:space="preserve">выбора поставщиков/подрядчиков продукции, сырья и материалов, товаров, услуг, а также проводимых закупочных процедур, влияющих на безопасность персонала;</w:t>
      </w:r>
      <w:r>
        <w:rPr>
          <w:rFonts w:ascii="Times New Roman" w:hAnsi="Times New Roman" w:eastAsia="Batang;바탕" w:cs="Times New Roman"/>
          <w:sz w:val="28"/>
          <w:szCs w:val="28"/>
          <w:lang w:eastAsia="ko-KR"/>
        </w:rPr>
      </w:r>
    </w:p>
    <w:p>
      <w:pPr>
        <w:pStyle w:val="752"/>
        <w:numPr>
          <w:ilvl w:val="0"/>
          <w:numId w:val="9"/>
        </w:numPr>
        <w:ind w:left="0" w:firstLine="709"/>
        <w:jc w:val="both"/>
        <w:spacing w:after="0" w:line="240" w:lineRule="auto"/>
        <w:rPr>
          <w:rFonts w:ascii="Times New Roman" w:hAnsi="Times New Roman" w:eastAsia="Batang;바탕" w:cs="Times New Roman"/>
          <w:sz w:val="28"/>
          <w:szCs w:val="28"/>
          <w:lang w:eastAsia="ko-KR"/>
        </w:rPr>
      </w:pPr>
      <w:r>
        <w:rPr>
          <w:rFonts w:ascii="Times New Roman" w:hAnsi="Times New Roman" w:eastAsia="Batang;바탕" w:cs="Times New Roman"/>
          <w:sz w:val="28"/>
          <w:szCs w:val="28"/>
          <w:lang w:eastAsia="ko-KR"/>
        </w:rPr>
        <w:t xml:space="preserve">обеспечение необходимыми организационными, финансовыми и материально-техническими ресурсами для реализ</w:t>
      </w:r>
      <w:r>
        <w:rPr>
          <w:rFonts w:ascii="Times New Roman" w:hAnsi="Times New Roman" w:eastAsia="Batang;바탕" w:cs="Times New Roman"/>
          <w:sz w:val="28"/>
          <w:szCs w:val="28"/>
          <w:lang w:eastAsia="ko-KR"/>
        </w:rPr>
        <w:t xml:space="preserve">ации Политики;</w:t>
      </w:r>
      <w:r>
        <w:rPr>
          <w:rFonts w:ascii="Times New Roman" w:hAnsi="Times New Roman" w:eastAsia="Batang;바탕" w:cs="Times New Roman"/>
          <w:sz w:val="28"/>
          <w:szCs w:val="28"/>
          <w:lang w:eastAsia="ko-KR"/>
        </w:rPr>
      </w:r>
    </w:p>
    <w:p>
      <w:pPr>
        <w:pStyle w:val="752"/>
        <w:numPr>
          <w:ilvl w:val="0"/>
          <w:numId w:val="10"/>
        </w:numPr>
        <w:ind w:left="0"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dee7e5"/>
        </w:rPr>
      </w:pPr>
      <w:r>
        <w:rPr>
          <w:rFonts w:ascii="Times New Roman" w:hAnsi="Times New Roman" w:eastAsia="Batang;바탕" w:cs="Times New Roman"/>
          <w:sz w:val="28"/>
          <w:szCs w:val="28"/>
          <w:lang w:eastAsia="ko-KR"/>
        </w:rPr>
        <w:t xml:space="preserve">совершенствование нормативной базы путем разработки локальных нормативных документов (актов) в целях повышения безопасности труда.</w:t>
      </w:r>
      <w:r>
        <w:rPr>
          <w:rFonts w:ascii="Times New Roman" w:hAnsi="Times New Roman" w:cs="Times New Roman"/>
          <w:sz w:val="28"/>
          <w:szCs w:val="28"/>
          <w:shd w:val="clear" w:color="auto" w:fill="dee7e5"/>
        </w:rPr>
      </w:r>
    </w:p>
    <w:p>
      <w:pPr>
        <w:pStyle w:val="752"/>
        <w:ind w:left="0"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dee7e5"/>
        </w:rPr>
      </w:pPr>
      <w:r>
        <w:rPr>
          <w:rFonts w:ascii="Times New Roman" w:hAnsi="Times New Roman" w:eastAsia="Batang;바탕" w:cs="Times New Roman"/>
          <w:sz w:val="28"/>
          <w:szCs w:val="28"/>
          <w:lang w:eastAsia="ko-KR"/>
        </w:rPr>
        <w:t xml:space="preserve">Руководство Группы РусГидро гарантирует выполнение им обязанностей по соблюдению государственных нормативных т</w:t>
      </w:r>
      <w:r>
        <w:rPr>
          <w:rFonts w:ascii="Times New Roman" w:hAnsi="Times New Roman" w:eastAsia="Batang;바탕" w:cs="Times New Roman"/>
          <w:sz w:val="28"/>
          <w:szCs w:val="28"/>
          <w:lang w:eastAsia="ko-KR"/>
        </w:rPr>
        <w:t xml:space="preserve">ребований охраны труда и добровольно принятых на себя обязательств, указанных в Политике.</w:t>
      </w:r>
      <w:r>
        <w:rPr>
          <w:rFonts w:ascii="Times New Roman" w:hAnsi="Times New Roman" w:cs="Times New Roman"/>
          <w:sz w:val="28"/>
          <w:szCs w:val="28"/>
          <w:shd w:val="clear" w:color="auto" w:fill="dee7e5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dee7e5"/>
        </w:rPr>
      </w:pPr>
      <w:r>
        <w:rPr>
          <w:rFonts w:ascii="Times New Roman" w:hAnsi="Times New Roman" w:cs="Times New Roman"/>
          <w:sz w:val="28"/>
          <w:szCs w:val="28"/>
          <w:shd w:val="clear" w:color="auto" w:fill="dee7e5"/>
        </w:rPr>
      </w:r>
      <w:r>
        <w:rPr>
          <w:rFonts w:ascii="Times New Roman" w:hAnsi="Times New Roman" w:cs="Times New Roman"/>
          <w:sz w:val="28"/>
          <w:szCs w:val="28"/>
          <w:shd w:val="clear" w:color="auto" w:fill="dee7e5"/>
        </w:rPr>
      </w:r>
    </w:p>
    <w:p>
      <w:pPr>
        <w:pStyle w:val="710"/>
        <w:numPr>
          <w:ilvl w:val="0"/>
          <w:numId w:val="3"/>
        </w:numPr>
        <w:ind w:hanging="11"/>
        <w:spacing w:before="0" w:after="0" w:line="240" w:lineRule="auto"/>
        <w:rPr>
          <w:rFonts w:ascii="Times New Roman" w:hAnsi="Times New Roman"/>
          <w:sz w:val="28"/>
          <w:szCs w:val="28"/>
        </w:rPr>
      </w:pPr>
      <w:r/>
      <w:bookmarkStart w:id="11" w:name="__RefHeading___Toc213247468"/>
      <w:r/>
      <w:bookmarkEnd w:id="11"/>
      <w:r>
        <w:rPr>
          <w:rFonts w:ascii="Times New Roman" w:hAnsi="Times New Roman"/>
          <w:b w:val="0"/>
          <w:sz w:val="28"/>
          <w:szCs w:val="28"/>
        </w:rPr>
        <w:t xml:space="preserve">РЕАЛИЗАЦИЯ ПОЛИТИКИ</w:t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Политика является основой для формирования долгосрочных и краткосрочных целей в области охраны труда Группы РусГидро, анализа их выполнения и </w:t>
      </w:r>
      <w:r>
        <w:rPr>
          <w:rFonts w:ascii="Times New Roman" w:hAnsi="Times New Roman" w:cs="Times New Roman"/>
          <w:sz w:val="28"/>
          <w:szCs w:val="28"/>
        </w:rPr>
        <w:t xml:space="preserve">оценки результативности мероприятий по достижению указанных целей.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Политика должна приниматься во внимание при: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0"/>
          <w:numId w:val="11"/>
        </w:numPr>
        <w:ind w:left="0"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разработке программ (планов) по улучшению условий и охраны труда;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0"/>
          <w:numId w:val="11"/>
        </w:numPr>
        <w:ind w:left="0"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определении функциональных обязанностей и ответственности работников в рамках </w:t>
      </w:r>
      <w:r>
        <w:rPr>
          <w:rFonts w:ascii="Times New Roman" w:hAnsi="Times New Roman" w:cs="Times New Roman"/>
          <w:sz w:val="28"/>
          <w:szCs w:val="28"/>
        </w:rPr>
        <w:t xml:space="preserve">СУОТ;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0"/>
          <w:numId w:val="11"/>
        </w:numPr>
        <w:ind w:left="0"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разработке и реализации мер по обеспечению готовности и реагированию на аварийные и чрезвычайные ситуации;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0"/>
          <w:numId w:val="11"/>
        </w:numPr>
        <w:ind w:left="0"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проведении оценки результативности СУОТ;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0"/>
          <w:numId w:val="11"/>
        </w:numPr>
        <w:ind w:left="0"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принятии технических и управленческих решений, влияющих на обеспечение безопасности персонала.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положения Политики реализуются путем выполнения процедур (регламентов), обеспечивающих функционирование СУОТ, которые также направлены на достижение целей в области охраны труда.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Реализация Политики осуществляется также путем закрепления соответст</w:t>
      </w:r>
      <w:r>
        <w:rPr>
          <w:rFonts w:ascii="Times New Roman" w:hAnsi="Times New Roman" w:cs="Times New Roman"/>
          <w:sz w:val="28"/>
          <w:szCs w:val="28"/>
        </w:rPr>
        <w:t xml:space="preserve">вующих обязательств и основных ее положений в договорах </w:t>
      </w:r>
      <w:r>
        <w:rPr>
          <w:rFonts w:ascii="Times New Roman" w:hAnsi="Times New Roman" w:cs="Times New Roman"/>
          <w:sz w:val="28"/>
          <w:szCs w:val="28"/>
        </w:rPr>
        <w:br/>
        <w:t xml:space="preserve">с подрядчиками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поставщиками.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Распределение ресурсов при формировании планов в области охраны труда должно обеспечивать последовательное и полное выполнение требований Политики при осуществлении де</w:t>
      </w:r>
      <w:r>
        <w:rPr>
          <w:rFonts w:ascii="Times New Roman" w:hAnsi="Times New Roman" w:cs="Times New Roman"/>
          <w:sz w:val="28"/>
          <w:szCs w:val="28"/>
        </w:rPr>
        <w:t xml:space="preserve">ятельности объектов Группы РусГидро при максимально возможной безопасности персонала.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0"/>
        <w:numPr>
          <w:ilvl w:val="0"/>
          <w:numId w:val="3"/>
        </w:numPr>
        <w:ind w:left="0" w:firstLine="709"/>
        <w:jc w:val="both"/>
        <w:spacing w:before="0" w:after="0" w:line="240" w:lineRule="auto"/>
        <w:rPr>
          <w:rFonts w:ascii="Times New Roman" w:hAnsi="Times New Roman"/>
          <w:sz w:val="28"/>
          <w:szCs w:val="28"/>
        </w:rPr>
      </w:pPr>
      <w:r/>
      <w:bookmarkStart w:id="12" w:name="__RefHeading___Toc213247469"/>
      <w:r/>
      <w:bookmarkEnd w:id="12"/>
      <w:r>
        <w:rPr>
          <w:rFonts w:ascii="Times New Roman" w:hAnsi="Times New Roman"/>
          <w:b w:val="0"/>
          <w:sz w:val="28"/>
          <w:szCs w:val="28"/>
        </w:rPr>
        <w:t xml:space="preserve">ИНФОРМИРОВАНИЕ ОБ ОСНОВНЫХ ПОЛОЖЕНИЯХ ПОЛИТИКИ </w:t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Доведение основных положений Политики до работников Группы РусГидро, подрядчиков и иных лиц, на которых могут распростран</w:t>
      </w:r>
      <w:r>
        <w:rPr>
          <w:rFonts w:ascii="Times New Roman" w:hAnsi="Times New Roman" w:cs="Times New Roman"/>
          <w:sz w:val="28"/>
          <w:szCs w:val="28"/>
        </w:rPr>
        <w:t xml:space="preserve">яться </w:t>
      </w:r>
      <w:r>
        <w:rPr>
          <w:rFonts w:ascii="Times New Roman" w:hAnsi="Times New Roman" w:eastAsia="Batang;바탕" w:cs="Times New Roman"/>
          <w:sz w:val="28"/>
          <w:szCs w:val="28"/>
          <w:lang w:eastAsia="ko-KR"/>
        </w:rPr>
        <w:t xml:space="preserve">производственные факторы объектов Группы РусГидро,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осуществляется следующими способами: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0"/>
          <w:numId w:val="11"/>
        </w:numPr>
        <w:ind w:left="0"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размещением Политики в общедоступных местах и на информационных стендах объектов Группы РусГидро; 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0"/>
          <w:numId w:val="11"/>
        </w:numPr>
        <w:ind w:left="0"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размещением Политики на корпоративном сайте Общества;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0"/>
          <w:numId w:val="11"/>
        </w:numPr>
        <w:ind w:left="0"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включен</w:t>
      </w:r>
      <w:r>
        <w:rPr>
          <w:rFonts w:ascii="Times New Roman" w:hAnsi="Times New Roman" w:cs="Times New Roman"/>
          <w:sz w:val="28"/>
          <w:szCs w:val="28"/>
        </w:rPr>
        <w:t xml:space="preserve">ием Политики в программу вводного инструктажа по охране труда;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0"/>
          <w:numId w:val="11"/>
        </w:numPr>
        <w:ind w:left="0"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закреплением соответствующих обязательств в части охраны труда и основных положений Политики в заключаемых договорах.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right"/>
        <w:keepNext/>
        <w:spacing w:after="0" w:line="240" w:lineRule="auto"/>
        <w:rPr>
          <w:rFonts w:ascii="Times New Roman" w:hAnsi="Times New Roman" w:cs="Times New Roman"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sectPr>
      <w:footerReference w:type="default" r:id="rId9"/>
      <w:footnotePr/>
      <w:endnotePr/>
      <w:type w:val="nextPage"/>
      <w:pgSz w:w="11906" w:h="16838" w:orient="portrait"/>
      <w:pgMar w:top="1134" w:right="851" w:bottom="1134" w:left="1134" w:header="0" w:footer="709" w:gutter="0"/>
      <w:pgNumType w:start="1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atang;바탕">
    <w:panose1 w:val="02000603000000000000"/>
  </w:font>
  <w:font w:name="Noto Sans CJK SC">
    <w:panose1 w:val="020B0502040504020204"/>
  </w:font>
  <w:font w:name="Liberation Sans">
    <w:panose1 w:val="020B0604020202020204"/>
  </w:font>
  <w:font w:name="Symbol">
    <w:panose1 w:val="05010000000000000000"/>
  </w:font>
  <w:font w:name="Courier New">
    <w:panose1 w:val="02070309020205020404"/>
  </w:font>
  <w:font w:name="Segoe UI">
    <w:panose1 w:val="020B0503020204020204"/>
  </w:font>
  <w:font w:name="Times New Roman">
    <w:panose1 w:val="02020603050405020304"/>
  </w:font>
  <w:font w:name="Calibri Light">
    <w:panose1 w:val="020F0502020204030204"/>
  </w:font>
  <w:font w:name="Arial Unicode MS">
    <w:panose1 w:val="020B06040202020202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200987931"/>
      <w:docPartObj>
        <w:docPartGallery w:val="Page Numbers (Bottom of Page)"/>
        <w:docPartUnique w:val="true"/>
      </w:docPartObj>
      <w:rPr/>
    </w:sdtPr>
    <w:sdtContent>
      <w:p>
        <w:pPr>
          <w:pStyle w:val="754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  <w:p>
    <w:pPr>
      <w:pStyle w:val="754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rPr>
          <w:sz w:val="12"/>
        </w:rPr>
      </w:pPr>
      <w:r>
        <w:separator/>
      </w:r>
      <w:r>
        <w:rPr>
          <w:sz w:val="12"/>
        </w:rPr>
      </w:r>
    </w:p>
  </w:footnote>
  <w:footnote w:type="continuationSeparator" w:id="0">
    <w:p>
      <w:pPr>
        <w:rPr>
          <w:sz w:val="12"/>
        </w:rPr>
      </w:pPr>
      <w:r>
        <w:continuationSeparator/>
      </w:r>
      <w:r>
        <w:rPr>
          <w:sz w:val="12"/>
        </w:rPr>
      </w:r>
    </w:p>
  </w:footnote>
  <w:footnote w:id="2">
    <w:p>
      <w:pPr>
        <w:pStyle w:val="756"/>
      </w:pPr>
      <w:r>
        <w:rPr>
          <w:rStyle w:val="718"/>
        </w:rPr>
        <w:footnoteRef/>
      </w:r>
      <w:r>
        <w:rPr>
          <w:rFonts w:ascii="Times New Roman" w:hAnsi="Times New Roman" w:cs="Times New Roman"/>
        </w:rPr>
        <w:t xml:space="preserve"> Далее также Общество.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762"/>
      <w:isLgl w:val="false"/>
      <w:suff w:val="tab"/>
      <w:lvlText w:val="%1."/>
      <w:lvlJc w:val="left"/>
      <w:pPr>
        <w:ind w:left="2268" w:hanging="1134"/>
        <w:tabs>
          <w:tab w:val="num" w:pos="1701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814" w:hanging="1134"/>
        <w:tabs>
          <w:tab w:val="num" w:pos="1134" w:leader="none"/>
        </w:tabs>
      </w:pPr>
    </w:lvl>
    <w:lvl w:ilvl="2">
      <w:start w:val="1"/>
      <w:numFmt w:val="bullet"/>
      <w:isLgl w:val="false"/>
      <w:suff w:val="tab"/>
      <w:lvlText w:val=""/>
      <w:lvlJc w:val="left"/>
      <w:pPr>
        <w:ind w:left="3686" w:hanging="567"/>
        <w:tabs>
          <w:tab w:val="num" w:pos="2149" w:leader="none"/>
        </w:tabs>
      </w:pPr>
      <w:rPr>
        <w:rFonts w:hint="default" w:ascii="Symbol" w:hAnsi="Symbol" w:cs="Symbol"/>
        <w:color w:val="000000"/>
      </w:rPr>
    </w:lvl>
    <w:lvl w:ilvl="3">
      <w:start w:val="1"/>
      <w:numFmt w:val="bullet"/>
      <w:isLgl w:val="false"/>
      <w:suff w:val="tab"/>
      <w:lvlText w:val=""/>
      <w:lvlJc w:val="left"/>
      <w:pPr>
        <w:ind w:left="6067" w:hanging="1134"/>
        <w:tabs>
          <w:tab w:val="num" w:pos="2869" w:leader="none"/>
        </w:tabs>
      </w:pPr>
      <w:rPr>
        <w:rFonts w:hint="default" w:ascii="Symbol" w:hAnsi="Symbol" w:cs="Symbol"/>
        <w:color w:val="00000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941" w:hanging="792"/>
        <w:tabs>
          <w:tab w:val="num" w:pos="3589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445" w:hanging="936"/>
        <w:tabs>
          <w:tab w:val="num" w:pos="3949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949" w:hanging="1080"/>
        <w:tabs>
          <w:tab w:val="num" w:pos="4669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453" w:hanging="1224"/>
        <w:tabs>
          <w:tab w:val="num" w:pos="5389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029" w:hanging="1440"/>
        <w:tabs>
          <w:tab w:val="num" w:pos="5749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08" w:leader="none"/>
        </w:tabs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080" w:hanging="720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40" w:hanging="108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44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80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80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2160"/>
        <w:tabs>
          <w:tab w:val="num" w:pos="0" w:leader="none"/>
        </w:tabs>
      </w:pPr>
    </w:lvl>
  </w:abstractNum>
  <w:abstractNum w:abstractNumId="2">
    <w:multiLevelType w:val="hybridMultilevel"/>
    <w:lvl w:ilvl="0">
      <w:start w:val="1"/>
      <w:numFmt w:val="none"/>
      <w:pStyle w:val="710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1.%1."/>
      <w:lvlJc w:val="left"/>
      <w:pPr>
        <w:ind w:left="1429" w:hanging="360"/>
        <w:tabs>
          <w:tab w:val="num" w:pos="0" w:leader="none"/>
        </w:tabs>
      </w:pPr>
      <w:rPr>
        <w:rFonts w:ascii="Times New Roman" w:hAnsi="Times New Roman" w:cs="Times New Roman"/>
        <w:b w:val="0"/>
        <w:bCs w:val="0"/>
      </w:r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7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9"/>
  </w:num>
  <w:num w:numId="7">
    <w:abstractNumId w:val="10"/>
  </w:num>
  <w:num w:numId="8">
    <w:abstractNumId w:val="8"/>
  </w:num>
  <w:num w:numId="9">
    <w:abstractNumId w:val="3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711"/>
    <w:link w:val="710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709"/>
    <w:next w:val="709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7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709"/>
    <w:next w:val="709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7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709"/>
    <w:next w:val="709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7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709"/>
    <w:next w:val="709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7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709"/>
    <w:next w:val="709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7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709"/>
    <w:next w:val="709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7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709"/>
    <w:next w:val="709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7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709"/>
    <w:next w:val="709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7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character" w:styleId="35">
    <w:name w:val="Title Char"/>
    <w:basedOn w:val="711"/>
    <w:link w:val="742"/>
    <w:uiPriority w:val="10"/>
    <w:rPr>
      <w:sz w:val="48"/>
      <w:szCs w:val="48"/>
    </w:rPr>
  </w:style>
  <w:style w:type="paragraph" w:styleId="36">
    <w:name w:val="Subtitle"/>
    <w:basedOn w:val="709"/>
    <w:next w:val="709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711"/>
    <w:link w:val="36"/>
    <w:uiPriority w:val="11"/>
    <w:rPr>
      <w:sz w:val="24"/>
      <w:szCs w:val="24"/>
    </w:rPr>
  </w:style>
  <w:style w:type="paragraph" w:styleId="38">
    <w:name w:val="Quote"/>
    <w:basedOn w:val="709"/>
    <w:next w:val="709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character" w:styleId="41">
    <w:name w:val="Intense Quote Char"/>
    <w:link w:val="760"/>
    <w:uiPriority w:val="30"/>
    <w:rPr>
      <w:i/>
    </w:rPr>
  </w:style>
  <w:style w:type="character" w:styleId="43">
    <w:name w:val="Header Char"/>
    <w:basedOn w:val="711"/>
    <w:link w:val="757"/>
    <w:uiPriority w:val="99"/>
  </w:style>
  <w:style w:type="character" w:styleId="45">
    <w:name w:val="Footer Char"/>
    <w:basedOn w:val="711"/>
    <w:link w:val="754"/>
    <w:uiPriority w:val="99"/>
  </w:style>
  <w:style w:type="character" w:styleId="47">
    <w:name w:val="Caption Char"/>
    <w:basedOn w:val="711"/>
    <w:link w:val="745"/>
    <w:uiPriority w:val="35"/>
    <w:rPr>
      <w:b/>
      <w:bCs/>
      <w:color w:val="4f81bd" w:themeColor="accent1"/>
      <w:sz w:val="18"/>
      <w:szCs w:val="18"/>
    </w:rPr>
  </w:style>
  <w:style w:type="table" w:styleId="48">
    <w:name w:val="Table Grid"/>
    <w:basedOn w:val="71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71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71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71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71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71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71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71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71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71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71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71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71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71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71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71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71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71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71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71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71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71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71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71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71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6">
    <w:name w:val="Footnote Text Char"/>
    <w:link w:val="756"/>
    <w:uiPriority w:val="99"/>
    <w:rPr>
      <w:sz w:val="18"/>
    </w:rPr>
  </w:style>
  <w:style w:type="paragraph" w:styleId="178">
    <w:name w:val="endnote text"/>
    <w:basedOn w:val="709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paragraph" w:styleId="182">
    <w:name w:val="toc 2"/>
    <w:basedOn w:val="709"/>
    <w:next w:val="709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709"/>
    <w:next w:val="709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709"/>
    <w:next w:val="709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709"/>
    <w:next w:val="709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709"/>
    <w:next w:val="709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709"/>
    <w:next w:val="709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709"/>
    <w:next w:val="709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709"/>
    <w:next w:val="709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709"/>
    <w:next w:val="709"/>
    <w:uiPriority w:val="99"/>
    <w:unhideWhenUsed/>
    <w:pPr>
      <w:spacing w:after="0" w:afterAutospacing="0"/>
    </w:pPr>
  </w:style>
  <w:style w:type="paragraph" w:styleId="709" w:default="1">
    <w:name w:val="Normal"/>
    <w:qFormat/>
    <w:pPr>
      <w:spacing w:after="160" w:line="259" w:lineRule="auto"/>
    </w:pPr>
  </w:style>
  <w:style w:type="paragraph" w:styleId="710">
    <w:name w:val="Heading 1"/>
    <w:basedOn w:val="709"/>
    <w:next w:val="709"/>
    <w:qFormat/>
    <w:pPr>
      <w:numPr>
        <w:ilvl w:val="0"/>
        <w:numId w:val="2"/>
      </w:numPr>
      <w:keepNext/>
      <w:spacing w:before="240" w:after="60"/>
      <w:outlineLvl w:val="0"/>
    </w:pPr>
    <w:rPr>
      <w:rFonts w:ascii="Calibri Light" w:hAnsi="Calibri Light" w:eastAsia="Times New Roman" w:cs="Times New Roman"/>
      <w:b/>
      <w:bCs/>
      <w:sz w:val="32"/>
      <w:szCs w:val="32"/>
    </w:rPr>
  </w:style>
  <w:style w:type="character" w:styleId="711" w:default="1">
    <w:name w:val="Default Paragraph Font"/>
    <w:uiPriority w:val="1"/>
    <w:semiHidden/>
    <w:unhideWhenUsed/>
  </w:style>
  <w:style w:type="table" w:styleId="71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13" w:default="1">
    <w:name w:val="No List"/>
    <w:uiPriority w:val="99"/>
    <w:semiHidden/>
    <w:unhideWhenUsed/>
  </w:style>
  <w:style w:type="character" w:styleId="714" w:customStyle="1">
    <w:name w:val="Текст выноски Знак"/>
    <w:basedOn w:val="711"/>
    <w:link w:val="751"/>
    <w:uiPriority w:val="99"/>
    <w:semiHidden/>
    <w:qFormat/>
    <w:rPr>
      <w:rFonts w:ascii="Segoe UI" w:hAnsi="Segoe UI" w:cs="Segoe UI"/>
      <w:sz w:val="18"/>
      <w:szCs w:val="18"/>
    </w:rPr>
  </w:style>
  <w:style w:type="character" w:styleId="715" w:customStyle="1">
    <w:name w:val="Нижний колонтитул Знак"/>
    <w:basedOn w:val="711"/>
    <w:link w:val="754"/>
    <w:uiPriority w:val="99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716" w:customStyle="1">
    <w:name w:val="Стандартный HTML Знак"/>
    <w:basedOn w:val="711"/>
    <w:link w:val="755"/>
    <w:uiPriority w:val="99"/>
    <w:semiHidden/>
    <w:qFormat/>
    <w:rPr>
      <w:rFonts w:ascii="Courier New" w:hAnsi="Courier New" w:eastAsia="Times New Roman" w:cs="Courier New"/>
      <w:sz w:val="20"/>
      <w:szCs w:val="20"/>
      <w:lang w:eastAsia="ru-RU"/>
    </w:rPr>
  </w:style>
  <w:style w:type="character" w:styleId="717" w:customStyle="1">
    <w:name w:val="Текст сноски Знак"/>
    <w:basedOn w:val="711"/>
    <w:link w:val="756"/>
    <w:uiPriority w:val="99"/>
    <w:semiHidden/>
    <w:qFormat/>
    <w:rPr>
      <w:sz w:val="20"/>
      <w:szCs w:val="20"/>
    </w:rPr>
  </w:style>
  <w:style w:type="character" w:styleId="718" w:customStyle="1">
    <w:name w:val="Символ сноски"/>
    <w:uiPriority w:val="99"/>
    <w:semiHidden/>
    <w:unhideWhenUsed/>
    <w:qFormat/>
    <w:rPr>
      <w:vertAlign w:val="superscript"/>
    </w:rPr>
  </w:style>
  <w:style w:type="character" w:styleId="719">
    <w:name w:val="footnote reference"/>
    <w:rPr>
      <w:vertAlign w:val="superscript"/>
    </w:rPr>
  </w:style>
  <w:style w:type="character" w:styleId="720" w:customStyle="1">
    <w:name w:val="Верхний колонтитул Знак"/>
    <w:basedOn w:val="711"/>
    <w:link w:val="757"/>
    <w:uiPriority w:val="99"/>
    <w:qFormat/>
  </w:style>
  <w:style w:type="character" w:styleId="721">
    <w:name w:val="annotation reference"/>
    <w:basedOn w:val="711"/>
    <w:uiPriority w:val="99"/>
    <w:semiHidden/>
    <w:unhideWhenUsed/>
    <w:qFormat/>
    <w:rPr>
      <w:sz w:val="16"/>
      <w:szCs w:val="16"/>
    </w:rPr>
  </w:style>
  <w:style w:type="character" w:styleId="722" w:customStyle="1">
    <w:name w:val="Текст примечания Знак"/>
    <w:basedOn w:val="711"/>
    <w:link w:val="758"/>
    <w:uiPriority w:val="99"/>
    <w:semiHidden/>
    <w:qFormat/>
    <w:rPr>
      <w:sz w:val="20"/>
      <w:szCs w:val="20"/>
    </w:rPr>
  </w:style>
  <w:style w:type="character" w:styleId="723" w:customStyle="1">
    <w:name w:val="Тема примечания Знак"/>
    <w:basedOn w:val="722"/>
    <w:link w:val="759"/>
    <w:uiPriority w:val="99"/>
    <w:semiHidden/>
    <w:qFormat/>
    <w:rPr>
      <w:b/>
      <w:bCs/>
      <w:sz w:val="20"/>
      <w:szCs w:val="20"/>
    </w:rPr>
  </w:style>
  <w:style w:type="character" w:styleId="724" w:customStyle="1">
    <w:name w:val="line number1"/>
    <w:qFormat/>
  </w:style>
  <w:style w:type="character" w:styleId="725" w:customStyle="1">
    <w:name w:val="line number2"/>
    <w:qFormat/>
  </w:style>
  <w:style w:type="character" w:styleId="726">
    <w:name w:val="Hyperlink"/>
    <w:uiPriority w:val="99"/>
    <w:rPr>
      <w:color w:val="000080"/>
      <w:u w:val="single"/>
    </w:rPr>
  </w:style>
  <w:style w:type="character" w:styleId="727" w:customStyle="1">
    <w:name w:val="WW8Num5z0"/>
    <w:qFormat/>
    <w:rPr>
      <w:b w:val="0"/>
    </w:rPr>
  </w:style>
  <w:style w:type="character" w:styleId="728" w:customStyle="1">
    <w:name w:val="WW8Num5z1"/>
    <w:qFormat/>
  </w:style>
  <w:style w:type="character" w:styleId="729" w:customStyle="1">
    <w:name w:val="WW8Num3z0"/>
    <w:qFormat/>
  </w:style>
  <w:style w:type="character" w:styleId="730" w:customStyle="1">
    <w:name w:val="WW8Num3z2"/>
    <w:qFormat/>
    <w:rPr>
      <w:rFonts w:ascii="Symbol" w:hAnsi="Symbol" w:cs="Symbol"/>
      <w:color w:val="000000"/>
    </w:rPr>
  </w:style>
  <w:style w:type="character" w:styleId="731" w:customStyle="1">
    <w:name w:val="WW8Num8z0"/>
    <w:qFormat/>
    <w:rPr>
      <w:rFonts w:ascii="Times New Roman" w:hAnsi="Times New Roman" w:cs="Times New Roman"/>
      <w:b w:val="0"/>
      <w:bCs w:val="0"/>
    </w:rPr>
  </w:style>
  <w:style w:type="character" w:styleId="732" w:customStyle="1">
    <w:name w:val="WW8Num7z0"/>
    <w:qFormat/>
    <w:rPr>
      <w:rFonts w:ascii="Symbol" w:hAnsi="Symbol" w:cs="Symbol"/>
    </w:rPr>
  </w:style>
  <w:style w:type="character" w:styleId="733" w:customStyle="1">
    <w:name w:val="WW8Num2z0"/>
    <w:qFormat/>
    <w:rPr>
      <w:rFonts w:ascii="Symbol" w:hAnsi="Symbol" w:cs="Symbol"/>
    </w:rPr>
  </w:style>
  <w:style w:type="character" w:styleId="734" w:customStyle="1">
    <w:name w:val="WW8Num10z0"/>
    <w:qFormat/>
    <w:rPr>
      <w:rFonts w:ascii="Symbol" w:hAnsi="Symbol" w:cs="Symbol"/>
    </w:rPr>
  </w:style>
  <w:style w:type="character" w:styleId="735" w:customStyle="1">
    <w:name w:val="WW8Num4z0"/>
    <w:qFormat/>
    <w:rPr>
      <w:rFonts w:ascii="Symbol" w:hAnsi="Symbol" w:cs="Symbol"/>
    </w:rPr>
  </w:style>
  <w:style w:type="character" w:styleId="736" w:customStyle="1">
    <w:name w:val="WW8Num6z0"/>
    <w:qFormat/>
    <w:rPr>
      <w:rFonts w:ascii="Symbol" w:hAnsi="Symbol" w:cs="Symbol"/>
    </w:rPr>
  </w:style>
  <w:style w:type="character" w:styleId="737" w:customStyle="1">
    <w:name w:val="WW8Num9z0"/>
    <w:qFormat/>
    <w:rPr>
      <w:rFonts w:ascii="Symbol" w:hAnsi="Symbol" w:cs="Symbol"/>
    </w:rPr>
  </w:style>
  <w:style w:type="character" w:styleId="738" w:customStyle="1">
    <w:name w:val="Символ концевой сноски"/>
    <w:qFormat/>
    <w:rPr>
      <w:vertAlign w:val="superscript"/>
    </w:rPr>
  </w:style>
  <w:style w:type="character" w:styleId="739">
    <w:name w:val="endnote reference"/>
    <w:rPr>
      <w:vertAlign w:val="superscript"/>
    </w:rPr>
  </w:style>
  <w:style w:type="character" w:styleId="740" w:customStyle="1">
    <w:name w:val="Ссылка указателя"/>
    <w:qFormat/>
  </w:style>
  <w:style w:type="character" w:styleId="741">
    <w:name w:val="line number"/>
  </w:style>
  <w:style w:type="paragraph" w:styleId="742">
    <w:name w:val="Title"/>
    <w:basedOn w:val="709"/>
    <w:next w:val="743"/>
    <w:qFormat/>
    <w:pPr>
      <w:keepNext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743">
    <w:name w:val="Body Text"/>
    <w:basedOn w:val="709"/>
    <w:pPr>
      <w:spacing w:after="140" w:line="276" w:lineRule="auto"/>
    </w:pPr>
  </w:style>
  <w:style w:type="paragraph" w:styleId="744">
    <w:name w:val="List"/>
    <w:basedOn w:val="743"/>
    <w:rPr>
      <w:rFonts w:cs="Arial Unicode MS"/>
    </w:rPr>
  </w:style>
  <w:style w:type="paragraph" w:styleId="745">
    <w:name w:val="Caption"/>
    <w:basedOn w:val="709"/>
    <w:qFormat/>
    <w:pPr>
      <w:spacing w:before="120" w:after="120"/>
      <w:suppressLineNumbers/>
    </w:pPr>
    <w:rPr>
      <w:rFonts w:cs="Arial Unicode MS"/>
      <w:i/>
      <w:iCs/>
      <w:sz w:val="24"/>
      <w:szCs w:val="24"/>
    </w:rPr>
  </w:style>
  <w:style w:type="paragraph" w:styleId="746">
    <w:name w:val="index heading"/>
    <w:basedOn w:val="709"/>
    <w:qFormat/>
    <w:pPr>
      <w:suppressLineNumbers/>
    </w:pPr>
    <w:rPr>
      <w:rFonts w:cs="Arial Unicode MS"/>
    </w:rPr>
  </w:style>
  <w:style w:type="paragraph" w:styleId="747" w:customStyle="1">
    <w:name w:val="caption1"/>
    <w:basedOn w:val="709"/>
    <w:qFormat/>
    <w:pPr>
      <w:spacing w:before="120" w:after="120"/>
      <w:suppressLineNumbers/>
    </w:pPr>
    <w:rPr>
      <w:rFonts w:cs="Arial Unicode MS"/>
      <w:i/>
      <w:iCs/>
      <w:sz w:val="24"/>
      <w:szCs w:val="24"/>
    </w:rPr>
  </w:style>
  <w:style w:type="paragraph" w:styleId="748" w:customStyle="1">
    <w:name w:val="caption11"/>
    <w:basedOn w:val="709"/>
    <w:qFormat/>
    <w:pPr>
      <w:spacing w:before="120" w:after="120"/>
      <w:suppressLineNumbers/>
    </w:pPr>
    <w:rPr>
      <w:rFonts w:cs="Arial Unicode MS"/>
      <w:i/>
      <w:iCs/>
      <w:sz w:val="24"/>
      <w:szCs w:val="24"/>
    </w:rPr>
  </w:style>
  <w:style w:type="paragraph" w:styleId="749" w:customStyle="1">
    <w:name w:val="caption111"/>
    <w:basedOn w:val="709"/>
    <w:qFormat/>
    <w:pPr>
      <w:spacing w:before="120" w:after="120"/>
      <w:suppressLineNumbers/>
    </w:pPr>
    <w:rPr>
      <w:i/>
      <w:iCs/>
      <w:sz w:val="24"/>
      <w:szCs w:val="24"/>
    </w:rPr>
  </w:style>
  <w:style w:type="paragraph" w:styleId="750" w:customStyle="1">
    <w:name w:val="caption1111"/>
    <w:basedOn w:val="709"/>
    <w:qFormat/>
    <w:pPr>
      <w:spacing w:before="120" w:after="120"/>
      <w:suppressLineNumbers/>
    </w:pPr>
    <w:rPr>
      <w:rFonts w:cs="Arial Unicode MS"/>
      <w:i/>
      <w:iCs/>
      <w:sz w:val="24"/>
      <w:szCs w:val="24"/>
    </w:rPr>
  </w:style>
  <w:style w:type="paragraph" w:styleId="751">
    <w:name w:val="Balloon Text"/>
    <w:basedOn w:val="709"/>
    <w:link w:val="714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752">
    <w:name w:val="List Paragraph"/>
    <w:basedOn w:val="709"/>
    <w:qFormat/>
    <w:pPr>
      <w:contextualSpacing/>
      <w:ind w:left="720"/>
      <w:spacing w:after="200"/>
    </w:pPr>
  </w:style>
  <w:style w:type="paragraph" w:styleId="753" w:customStyle="1">
    <w:name w:val="Колонтитул"/>
    <w:basedOn w:val="709"/>
    <w:qFormat/>
  </w:style>
  <w:style w:type="paragraph" w:styleId="754">
    <w:name w:val="Footer"/>
    <w:basedOn w:val="709"/>
    <w:link w:val="715"/>
    <w:uiPriority w:val="99"/>
    <w:pPr>
      <w:spacing w:after="0" w:line="240" w:lineRule="auto"/>
      <w:tabs>
        <w:tab w:val="center" w:pos="4677" w:leader="none"/>
        <w:tab w:val="right" w:pos="9355" w:leader="none"/>
      </w:tabs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55">
    <w:name w:val="HTML Preformatted"/>
    <w:basedOn w:val="709"/>
    <w:link w:val="716"/>
    <w:uiPriority w:val="99"/>
    <w:semiHidden/>
    <w:unhideWhenUsed/>
    <w:qFormat/>
    <w:pPr>
      <w:spacing w:after="0" w:line="240" w:lineRule="auto"/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756">
    <w:name w:val="footnote text"/>
    <w:basedOn w:val="709"/>
    <w:link w:val="717"/>
    <w:uiPriority w:val="99"/>
    <w:semiHidden/>
    <w:unhideWhenUsed/>
    <w:pPr>
      <w:spacing w:after="0" w:line="240" w:lineRule="auto"/>
    </w:pPr>
    <w:rPr>
      <w:sz w:val="20"/>
      <w:szCs w:val="20"/>
    </w:rPr>
  </w:style>
  <w:style w:type="paragraph" w:styleId="757">
    <w:name w:val="Header"/>
    <w:basedOn w:val="709"/>
    <w:link w:val="720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paragraph" w:styleId="758">
    <w:name w:val="annotation text"/>
    <w:basedOn w:val="709"/>
    <w:link w:val="722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759">
    <w:name w:val="annotation subject"/>
    <w:basedOn w:val="758"/>
    <w:next w:val="758"/>
    <w:link w:val="723"/>
    <w:uiPriority w:val="99"/>
    <w:semiHidden/>
    <w:unhideWhenUsed/>
    <w:qFormat/>
    <w:rPr>
      <w:b/>
      <w:bCs/>
    </w:rPr>
  </w:style>
  <w:style w:type="paragraph" w:styleId="760">
    <w:name w:val="Intense Quote"/>
    <w:basedOn w:val="709"/>
    <w:next w:val="709"/>
    <w:qFormat/>
    <w:pPr>
      <w:ind w:left="864" w:right="864"/>
      <w:jc w:val="center"/>
      <w:spacing w:before="360" w:after="360"/>
      <w:pBdr>
        <w:top w:val="single" w:color="5B9BD5" w:sz="4" w:space="10"/>
        <w:bottom w:val="single" w:color="5B9BD5" w:sz="4" w:space="10"/>
      </w:pBdr>
    </w:pPr>
    <w:rPr>
      <w:i/>
      <w:iCs/>
      <w:color w:val="5b9bd5"/>
    </w:rPr>
  </w:style>
  <w:style w:type="paragraph" w:styleId="761">
    <w:name w:val="toc 1"/>
    <w:basedOn w:val="709"/>
    <w:next w:val="709"/>
    <w:uiPriority w:val="39"/>
    <w:pPr>
      <w:tabs>
        <w:tab w:val="left" w:pos="284" w:leader="none"/>
        <w:tab w:val="left" w:pos="2718" w:leader="none"/>
      </w:tabs>
    </w:pPr>
  </w:style>
  <w:style w:type="paragraph" w:styleId="762" w:customStyle="1">
    <w:name w:val="Обычный + Перед:  0 пт"/>
    <w:basedOn w:val="709"/>
    <w:qFormat/>
    <w:pPr>
      <w:numPr>
        <w:ilvl w:val="0"/>
        <w:numId w:val="4"/>
      </w:numPr>
      <w:jc w:val="both"/>
      <w:spacing w:after="0" w:line="312" w:lineRule="auto"/>
    </w:pPr>
    <w:rPr>
      <w:rFonts w:ascii="Arial" w:hAnsi="Arial" w:eastAsia="Times New Roman" w:cs="Arial"/>
      <w:szCs w:val="24"/>
    </w:rPr>
  </w:style>
  <w:style w:type="paragraph" w:styleId="763">
    <w:name w:val="Normal (Web)"/>
    <w:basedOn w:val="709"/>
    <w:qFormat/>
    <w:pPr>
      <w:spacing w:before="280" w:after="280" w:line="240" w:lineRule="auto"/>
    </w:pPr>
    <w:rPr>
      <w:rFonts w:ascii="Times New Roman" w:hAnsi="Times New Roman" w:eastAsia="Times New Roman" w:cs="Times New Roman"/>
      <w:sz w:val="23"/>
      <w:szCs w:val="23"/>
    </w:rPr>
  </w:style>
  <w:style w:type="numbering" w:styleId="764" w:customStyle="1">
    <w:name w:val="WW8Num5"/>
    <w:qFormat/>
  </w:style>
  <w:style w:type="numbering" w:styleId="765" w:customStyle="1">
    <w:name w:val="WW8Num3"/>
    <w:qFormat/>
  </w:style>
  <w:style w:type="numbering" w:styleId="766" w:customStyle="1">
    <w:name w:val="WW8Num8"/>
    <w:qFormat/>
  </w:style>
  <w:style w:type="numbering" w:styleId="767" w:customStyle="1">
    <w:name w:val="WW8Num7"/>
    <w:qFormat/>
  </w:style>
  <w:style w:type="numbering" w:styleId="768" w:customStyle="1">
    <w:name w:val="WW8Num2"/>
    <w:qFormat/>
  </w:style>
  <w:style w:type="numbering" w:styleId="769" w:customStyle="1">
    <w:name w:val="WW8Num10"/>
    <w:qFormat/>
  </w:style>
  <w:style w:type="numbering" w:styleId="770" w:customStyle="1">
    <w:name w:val="WW8Num4"/>
    <w:qFormat/>
  </w:style>
  <w:style w:type="numbering" w:styleId="771" w:customStyle="1">
    <w:name w:val="WW8Num6"/>
    <w:qFormat/>
  </w:style>
  <w:style w:type="numbering" w:styleId="772" w:customStyle="1">
    <w:name w:val="WW8Num9"/>
    <w:qFormat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8DBF99-9272-4913-86EC-262CFA209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РусГидро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Соломатин Олег Юрьевич</dc:creator>
  <dc:description/>
  <dc:language>ru-RU</dc:language>
  <cp:lastModifiedBy>eroshenko_ea</cp:lastModifiedBy>
  <cp:revision>21</cp:revision>
  <dcterms:created xsi:type="dcterms:W3CDTF">2025-10-10T02:43:00Z</dcterms:created>
  <dcterms:modified xsi:type="dcterms:W3CDTF">2026-01-23T04:05:33Z</dcterms:modified>
</cp:coreProperties>
</file>